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660E6A0B">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265DF450">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0A2FD3CF">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062DB289">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679BD55C">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21C018A9">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37D11EFE">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196ED771">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7CFD3AC1">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p>
    <w:p w14:paraId="0A46C14B">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5 mavzu. INVESTITsIYa LOYIHALARINI MOLIYAVIY–IQTISODIY BAHOLAShNING ASOSIY USULLARI</w:t>
      </w:r>
    </w:p>
    <w:p w14:paraId="003EB901">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en-US"/>
        </w:rPr>
      </w:pPr>
      <w:bookmarkStart w:id="0" w:name="_GoBack"/>
      <w:bookmarkEnd w:id="0"/>
    </w:p>
    <w:p w14:paraId="424D904A">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5.1. Investitsiya loyihalarini moliyaviy-iqtisodiy</w:t>
      </w:r>
    </w:p>
    <w:p w14:paraId="77B43602">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baholashning mohiyati va usullari</w:t>
      </w:r>
    </w:p>
    <w:p w14:paraId="44C80F9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p>
    <w:p w14:paraId="0D2048C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Har qanday investitsiya loyihasini moliyaviy-iqtisodiy baholash mazmunini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juda sodda savolga, ya’ni kelgusidagi pul tushumlari hozirgi qilingan xarajatlarni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qoplaydimi yoki yo’qmi, degan savolga javob topish 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tadi.</w:t>
      </w:r>
    </w:p>
    <w:p w14:paraId="7B04490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Rivojlangan bozor iqtisodiyotiga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mamlakatlarda investitsiyalarni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baholashning turli loyihalarga qo’yilgan mablag’larning foydaliligini taqqoslashga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asoslangan usullari ko’p qo’llaniladi. Bunda u yoki bu loyihaga investitsiya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qilishning muqobil varianti bo’lib boshqa ob’ektlarga mablag’ sarflash, shuningdek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mablag’larni ma’lum foiz bilan bankka qo’yish yoki ularni qimmatli qog’ozlarga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aylantirish imkoniyatlari hisoblanadi.</w:t>
      </w:r>
    </w:p>
    <w:p w14:paraId="61E62AA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Shu nuqtai nazardan qaraganda, investitsiya loyihalari samaradorligini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baholash uslublari deganda xarajatlarning foydaliligi va qoplanishi nuqtai nazaridan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turli ob’ektlarga (loyihalarga, tadbirlarga) investitsiya qilishning maqsadga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muvofiqligini aniqlash usullari tushuniladi. Investitsiyalar samaradorligini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aniqlashda, ularning ayrim jihatlarinigina xarakterlaydigan alohida ko’rsatkichlardan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foydalanish etarli bo’lmaydi.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 sababli investitsiya loyihalari samaradorligini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baholash uchun bir necha uslublar va ko’rsatkichlar tizimidan foydalaniladi.</w:t>
      </w:r>
    </w:p>
    <w:p w14:paraId="44E9354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Investitsiya loyihalarini baholashda besh asosiy uslubdan keng foydalaniladi.</w:t>
      </w:r>
      <w:r>
        <w:rPr>
          <w:rFonts w:ascii="Times New Roman" w:hAnsi="Times New Roman" w:eastAsia="LiberationSerif-Bold" w:cs="Times New Roman"/>
          <w:color w:val="000000"/>
          <w:sz w:val="28"/>
          <w:szCs w:val="28"/>
          <w:lang w:val="uz-Cyrl-UZ"/>
        </w:rPr>
        <w:t xml:space="preserve"> O’z navbatida bu uslublarni ikki guruhga aratish mumkin:</w:t>
      </w:r>
    </w:p>
    <w:p w14:paraId="0482839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1. Diskontlash kontseptsiyasini qo’llashga asoslangan uslublar:</w:t>
      </w:r>
    </w:p>
    <w:p w14:paraId="40A1C17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sof joriy qiymatni aniqlash uslubi;</w:t>
      </w:r>
    </w:p>
    <w:p w14:paraId="5988E74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investitsiyalarning rentabellik darajasini aniqlash uslubi;</w:t>
      </w:r>
    </w:p>
    <w:p w14:paraId="12E77A4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ichki foyda me’yorini aniqlash uslubi.</w:t>
      </w:r>
    </w:p>
    <w:p w14:paraId="79F74E4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Diskontlash kontseptsiyasini qo’llashni ko’zda tutmagan uslublar:</w:t>
      </w:r>
    </w:p>
    <w:p w14:paraId="7F1BC2C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 loyihalariga sarflangan mablag’larni qoplash davrini aniqlash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uslubi;</w:t>
      </w:r>
    </w:p>
    <w:p w14:paraId="569DC4C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investitsiyalarning buxgalteriya rentabelliligini aniqlash uslubi.</w:t>
      </w:r>
    </w:p>
    <w:p w14:paraId="5EBE542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Ushbu uslublarni ko’rib chiqishdan oldin shuni ta’kidlash zarurki, har beshala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uslub investitsiyalarning mutlaq samaradorligini aniqlash usuli sifatida ko’rib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chiqiladi. </w:t>
      </w:r>
      <w:r>
        <w:rPr>
          <w:rFonts w:ascii="Times New Roman" w:hAnsi="Times New Roman" w:eastAsia="LiberationSerif-Bold" w:cs="Times New Roman"/>
          <w:color w:val="000000"/>
          <w:sz w:val="28"/>
          <w:szCs w:val="28"/>
          <w:lang w:val="uz-Cyrl-UZ"/>
        </w:rPr>
        <w:t>Ya</w:t>
      </w:r>
      <w:r>
        <w:rPr>
          <w:rFonts w:ascii="Times New Roman" w:hAnsi="Times New Roman" w:eastAsia="LiberationSerif-Bold" w:cs="Times New Roman"/>
          <w:color w:val="000000"/>
          <w:sz w:val="28"/>
          <w:szCs w:val="28"/>
          <w:lang w:val="en-US"/>
        </w:rPr>
        <w:t>’ni har bir investitsiya loyihasini amalga oshirish firmaning boshqa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loyihalarga investitsiya sarflash imkoniyatlariga ta’sir etmaydi, degan shartga amal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qilinadi.</w:t>
      </w:r>
    </w:p>
    <w:p w14:paraId="23ED437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Bunday shartning kiritilishiga sabab shuki, amalda ko’pchilik investiya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loyihalarining amalga oshirilishi boshqa loyihalarni amalga oshirish imkoniyatlarini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pasaytiradi yoki mutlaqo yo’qqa chiqaradi. Bunday investitsiya loyihalari o’zaro</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konfliktli loyihalar deyiladi. O’zaro konfliktli loyihalar jumlasiga shuningdek,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firmaning ma’lum bir pirovard maqsadiga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rishishning turli yo’llarini ko’zda tutuvchi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 kiradi. Turli loyihalarning konfliktli bo’lishiga sabab korxona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mablag’larining cheklanganligidir. Firmalalar loyihalarni nafaqat mutlaq</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samaradorligi mezoniga ko’ra, balki mablag’ etmay qolganligi sabab boshqa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loyihalarni amalga oshira olmasligi tufayli o’zi ko’rishi mumkin bo’lgan yo’qotishlar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nuqtai nazaridan kelib chiqib ham tanlaydi. Boshqacha aytganda, firma investitsiya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loyihalarini nisbiy samaradorlik mezoniga ko’ra tanlaydi.</w:t>
      </w:r>
    </w:p>
    <w:p w14:paraId="5D2828D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Investitsiyalar samaradorligini aniqlash usullarini o’rganishga kirishishdan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oldin biz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’tiborga olishimiz zarur bo’lgan yana bir shart shundan iboratki, bu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jarayonda loyiha bilan bog’liq bo’lgan barcha xarajatlar va tushumlar pul ko’rinishiga</w:t>
      </w:r>
      <w:r>
        <w:rPr>
          <w:rFonts w:ascii="Times New Roman" w:hAnsi="Times New Roman" w:eastAsia="LiberationSerif-Bold" w:cs="Times New Roman"/>
          <w:color w:val="000000"/>
          <w:sz w:val="28"/>
          <w:szCs w:val="28"/>
          <w:lang w:val="uz-Cyrl-UZ"/>
        </w:rPr>
        <w:t xml:space="preserve"> e</w:t>
      </w:r>
      <w:r>
        <w:rPr>
          <w:rFonts w:ascii="Times New Roman" w:hAnsi="Times New Roman" w:eastAsia="LiberationSerif-Bold" w:cs="Times New Roman"/>
          <w:color w:val="000000"/>
          <w:sz w:val="28"/>
          <w:szCs w:val="28"/>
          <w:lang w:val="en-US"/>
        </w:rPr>
        <w:t>ga deb qaraladi.</w:t>
      </w:r>
    </w:p>
    <w:p w14:paraId="1C2ACFAC">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45B5E6E9">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5.2. Investitsiya loyihalarini moliyaviy–iqtisodiy baholashda</w:t>
      </w:r>
    </w:p>
    <w:p w14:paraId="7BDA22D8">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pul oqimlarini diskontlashga asoslangan uslublari</w:t>
      </w:r>
    </w:p>
    <w:p w14:paraId="3D987DF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6BDE705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b/>
          <w:color w:val="000000"/>
          <w:sz w:val="28"/>
          <w:szCs w:val="28"/>
          <w:lang w:val="uz-Cyrl-UZ"/>
        </w:rPr>
        <w:t xml:space="preserve">Sof joriy qiymat – </w:t>
      </w:r>
      <w:r>
        <w:rPr>
          <w:rFonts w:ascii="Times New Roman" w:hAnsi="Times New Roman" w:cs="Times New Roman"/>
          <w:b/>
          <w:sz w:val="28"/>
          <w:szCs w:val="28"/>
          <w:lang w:val="uz-Cyrl-UZ"/>
        </w:rPr>
        <w:t>NPV</w:t>
      </w:r>
      <w:r>
        <w:rPr>
          <w:rFonts w:ascii="Times New Roman" w:hAnsi="Times New Roman" w:cs="Times New Roman"/>
          <w:sz w:val="28"/>
          <w:szCs w:val="28"/>
          <w:lang w:val="uz-Cyrl-UZ"/>
        </w:rPr>
        <w:t xml:space="preserve"> (ingl. net present value).</w:t>
      </w:r>
      <w:r>
        <w:rPr>
          <w:rFonts w:ascii="Times New Roman" w:hAnsi="Times New Roman" w:eastAsia="LiberationSerif-Bold" w:cs="Times New Roman"/>
          <w:color w:val="000000"/>
          <w:sz w:val="28"/>
          <w:szCs w:val="28"/>
          <w:lang w:val="uz-Cyrl-UZ"/>
        </w:rPr>
        <w:t xml:space="preserve"> Sof joriy qiymat ko’rsatkichi loyiha amalga oshirilishi natijasida firma boyligi qanchaga ko’payganini xarakterlaydi. Sof joriy qiymatga asoslangan holda nvestitsiyalarni tahlil qilish usuli quyidagi ikkita shartdan kelib chiqadi:</w:t>
      </w:r>
    </w:p>
    <w:p w14:paraId="7B03001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har qanday korxona yoki firma o’z boyliklarini oshirishga harakat qiladi;</w:t>
      </w:r>
    </w:p>
    <w:p w14:paraId="6AB2CFA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har xil vaqtda sarflangan mablag’lar bir xil qiymatga ega bo’lmaydi.</w:t>
      </w:r>
    </w:p>
    <w:p w14:paraId="54D0BFD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Sof joriy qiymat bu diskontlangan pul tushumlari bilan (albatta investitsiya natijalarida vujudga kelgan) diskontlangan xarajatlarining farqidir.</w:t>
      </w:r>
    </w:p>
    <w:p w14:paraId="4742B9F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Agar boshlang’ich investitsiya mablag’larini I</w:t>
      </w:r>
      <w:r>
        <w:rPr>
          <w:rFonts w:ascii="Times New Roman" w:hAnsi="Times New Roman" w:eastAsia="LiberationSerif-Bold" w:cs="Times New Roman"/>
          <w:color w:val="000000"/>
          <w:sz w:val="28"/>
          <w:szCs w:val="28"/>
          <w:vertAlign w:val="subscript"/>
          <w:lang w:val="uz-Cyrl-UZ"/>
        </w:rPr>
        <w:t>0</w:t>
      </w:r>
      <w:r>
        <w:rPr>
          <w:rFonts w:ascii="Times New Roman" w:hAnsi="Times New Roman" w:eastAsia="LiberationSerif-Bold" w:cs="Times New Roman"/>
          <w:color w:val="000000"/>
          <w:sz w:val="28"/>
          <w:szCs w:val="28"/>
          <w:lang w:val="uz-Cyrl-UZ"/>
        </w:rPr>
        <w:t xml:space="preserve"> , t-davr oxiridagi pul tushumlarini SF</w:t>
      </w:r>
      <w:r>
        <w:rPr>
          <w:rFonts w:ascii="Times New Roman" w:hAnsi="Times New Roman" w:eastAsia="LiberationSerif-Bold" w:cs="Times New Roman"/>
          <w:color w:val="000000"/>
          <w:sz w:val="28"/>
          <w:szCs w:val="28"/>
          <w:vertAlign w:val="subscript"/>
          <w:lang w:val="uz-Cyrl-UZ"/>
        </w:rPr>
        <w:t>t</w:t>
      </w:r>
      <w:r>
        <w:rPr>
          <w:rFonts w:ascii="Times New Roman" w:hAnsi="Times New Roman" w:eastAsia="LiberationSerif-Bold" w:cs="Times New Roman"/>
          <w:color w:val="000000"/>
          <w:sz w:val="28"/>
          <w:szCs w:val="28"/>
          <w:lang w:val="uz-Cyrl-UZ"/>
        </w:rPr>
        <w:t xml:space="preserve"> deb belgilasak, u holda sof joriy qiymatni aniqlashni ko’rib chiqamiz .</w:t>
      </w:r>
    </w:p>
    <w:p w14:paraId="102691D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Agar sof joriy qiymat (NPV) musbat miqdorga ega bo’lsa bu loyiha uchun qilinadigan investitsiya samaralidir.</w:t>
      </w:r>
    </w:p>
    <w:p w14:paraId="7FB9EE9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Misol: Firma 500 mln so’mga universal do’kon uchun joy, bino sotib oldi. Bu do’kondan 10 yil davomida har yili 100 mln. so’mdan pul tushumlari bo’ladi. O’sha davrda muqobil foyda me’yori 10% bo’lsa shu do’konni sotib olish kerakmi degan savol tug’iladi. Hisob-kitoblar shuni ko’rsatdiki, firma 10 yil ichida o’z kapitalini 114,6 mln. so’mga ko’paytiradi. Loyiha samaralidir.</w:t>
      </w:r>
    </w:p>
    <w:p w14:paraId="20CAFE7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Ayrim hollarda «uzoq» muddatli investitsiya sarf</w:t>
      </w:r>
      <w:r>
        <w:rPr>
          <w:rFonts w:ascii="Times New Roman" w:hAnsi="Times New Roman" w:eastAsia="LiberationSerif-Bold" w:cs="Times New Roman"/>
          <w:color w:val="000000"/>
          <w:sz w:val="28"/>
          <w:szCs w:val="28"/>
          <w:lang w:val="uz-Cyrl-UZ"/>
        </w:rPr>
        <w:t xml:space="preserve"> q</w:t>
      </w:r>
      <w:r>
        <w:rPr>
          <w:rFonts w:ascii="Times New Roman" w:hAnsi="Times New Roman" w:eastAsia="LiberationSerif-Bold" w:cs="Times New Roman"/>
          <w:color w:val="000000"/>
          <w:sz w:val="28"/>
          <w:szCs w:val="28"/>
          <w:lang w:val="en-US"/>
        </w:rPr>
        <w:t xml:space="preserve">ilib uzoq muddat ichida pul tushumlari vujudga keladi. Ya’ni pul oqimi birdaniga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mas bir necha yilga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cho’ziladi. Bunda quyidagi formuladan foydalanish mumkin (13-formula):</w:t>
      </w:r>
    </w:p>
    <w:p w14:paraId="4E364E8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n</w:t>
      </w:r>
      <w:r>
        <w:rPr>
          <w:rFonts w:ascii="Times New Roman" w:hAnsi="Times New Roman" w:eastAsia="LiberationSerif-Bold" w:cs="Times New Roman"/>
          <w:color w:val="000000"/>
          <w:sz w:val="28"/>
          <w:szCs w:val="28"/>
          <w:lang w:val="en-US"/>
        </w:rPr>
        <w:t xml:space="preserve">         I</w:t>
      </w:r>
      <w:r>
        <w:rPr>
          <w:rFonts w:ascii="Times New Roman" w:hAnsi="Times New Roman" w:eastAsia="LiberationSerif-Bold" w:cs="Times New Roman"/>
          <w:color w:val="000000"/>
          <w:sz w:val="28"/>
          <w:szCs w:val="28"/>
          <w:vertAlign w:val="subscript"/>
          <w:lang w:val="en-US"/>
        </w:rPr>
        <w:t>t</w:t>
      </w:r>
    </w:p>
    <w:p w14:paraId="798C0FD1">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NPV q ∑ ----------------  -  ∑ -------------</w:t>
      </w:r>
      <w:r>
        <w:rPr>
          <w:rFonts w:ascii="Times New Roman" w:hAnsi="Times New Roman" w:eastAsia="LiberationSerif-Bold" w:cs="Times New Roman"/>
          <w:color w:val="000000"/>
          <w:sz w:val="28"/>
          <w:szCs w:val="28"/>
        </w:rPr>
        <w:t></w:t>
      </w:r>
    </w:p>
    <w:p w14:paraId="64D6577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p>
    <w:p w14:paraId="016D08D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p>
    <w:p w14:paraId="2B6ED2A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Loyihalarning hayot davri cheklanmagan holatlarda NPVni hisoblashda Gorden formulasidan foydalaniladi (14-formula).</w:t>
      </w:r>
    </w:p>
    <w:p w14:paraId="17A04DDC">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NPV q SF</w:t>
      </w:r>
      <w:r>
        <w:rPr>
          <w:rFonts w:ascii="Times New Roman" w:hAnsi="Times New Roman" w:eastAsia="LiberationSerif-Bold" w:cs="Times New Roman"/>
          <w:color w:val="000000"/>
          <w:sz w:val="28"/>
          <w:szCs w:val="28"/>
          <w:vertAlign w:val="subscript"/>
          <w:lang w:val="en-US"/>
        </w:rPr>
        <w:t>1</w:t>
      </w:r>
      <w:r>
        <w:rPr>
          <w:rFonts w:ascii="Times New Roman" w:hAnsi="Times New Roman" w:eastAsia="LiberationSerif-Bold" w:cs="Times New Roman"/>
          <w:color w:val="000000"/>
          <w:sz w:val="28"/>
          <w:szCs w:val="28"/>
          <w:lang w:val="en-US"/>
        </w:rPr>
        <w:t xml:space="preserve"> G’ (k Q - q) – I</w:t>
      </w:r>
      <w:r>
        <w:rPr>
          <w:rFonts w:ascii="Times New Roman" w:hAnsi="Times New Roman" w:eastAsia="LiberationSerif-Bold" w:cs="Times New Roman"/>
          <w:color w:val="000000"/>
          <w:sz w:val="28"/>
          <w:szCs w:val="28"/>
          <w:vertAlign w:val="subscript"/>
          <w:lang w:val="en-US"/>
        </w:rPr>
        <w:t>0</w:t>
      </w:r>
    </w:p>
    <w:p w14:paraId="6488D18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erda: CF</w:t>
      </w:r>
      <w:r>
        <w:rPr>
          <w:rFonts w:ascii="Times New Roman" w:hAnsi="Times New Roman" w:eastAsia="LiberationSerif-Bold" w:cs="Times New Roman"/>
          <w:color w:val="000000"/>
          <w:sz w:val="28"/>
          <w:szCs w:val="28"/>
          <w:vertAlign w:val="subscript"/>
          <w:lang w:val="en-US"/>
        </w:rPr>
        <w:t>1</w:t>
      </w:r>
      <w:r>
        <w:rPr>
          <w:rFonts w:ascii="Times New Roman" w:hAnsi="Times New Roman" w:eastAsia="LiberationSerif-Bold" w:cs="Times New Roman"/>
          <w:color w:val="000000"/>
          <w:sz w:val="28"/>
          <w:szCs w:val="28"/>
          <w:lang w:val="en-US"/>
        </w:rPr>
        <w:t>-pul tushumlari;</w:t>
      </w:r>
    </w:p>
    <w:p w14:paraId="3D7A470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q-pul tushumlarining doimiy o’sish sur’atlari.</w:t>
      </w:r>
    </w:p>
    <w:p w14:paraId="488F3A4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Misol: Firma yangi «Modellar uyi»ni 510 mln. so’mga sotib olmoqchi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davrda muqobil foyda me’yori 15%. Har yili bu korxona 70 mln.so’m pul tushumlari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vujudga keltiradi. Korxonani sotib olish to’g’ri bo’ladimi?</w:t>
      </w:r>
    </w:p>
    <w:p w14:paraId="0A771673">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NPV</w:t>
      </w:r>
      <w:r>
        <w:rPr>
          <w:rFonts w:ascii="Times New Roman" w:hAnsi="Times New Roman" w:eastAsia="LiberationSerif-Bold" w:cs="Times New Roman"/>
          <w:color w:val="000000"/>
          <w:sz w:val="28"/>
          <w:szCs w:val="28"/>
          <w:lang w:val="uz-Cyrl-UZ"/>
        </w:rPr>
        <w:t xml:space="preserve"> q </w:t>
      </w:r>
      <w:r>
        <w:rPr>
          <w:rFonts w:ascii="Times New Roman" w:hAnsi="Times New Roman" w:eastAsia="LiberationSerif-Bold" w:cs="Times New Roman"/>
          <w:color w:val="000000"/>
          <w:sz w:val="28"/>
          <w:szCs w:val="28"/>
          <w:lang w:val="en-US"/>
        </w:rPr>
        <w:t>70 G’ (0,15 - 0) – 510 q 466,7 - 510 q - 43,3</w:t>
      </w:r>
    </w:p>
    <w:p w14:paraId="27B9C21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Bundan ko’rib turibmizki, korxonani sotib olish firma uchun ziyon keltiradi.</w:t>
      </w:r>
    </w:p>
    <w:p w14:paraId="1F31079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Faraz qilaylik, pul tushumlari yiliga 4% ga oshsin va yil oxirida 70 mln. so’m pul tushumiga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bo’linsin, bunday holatda korxonani sotib olish foydali bo’ladi.</w:t>
      </w:r>
    </w:p>
    <w:p w14:paraId="4B879214">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NPV q 70 G’ (0,15 - 0,04) – 510 q 70 G’ 0,11 – 510 q 636,4 – 510 q 126,4 mln.so’m.</w:t>
      </w:r>
    </w:p>
    <w:p w14:paraId="045502D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Investitsiyalar samaradorligini NPV asosida aniqlash usuli keng tarqalganiga sabab bu ko’rsatkichning dastlabki shart-sharoitlar turli kombinatsiyalarida barqaror, o’zgarmay turishidir. NPV investitsiyalashning ushbu varianti firma boyligi o’sishiga olib keladimi, degan savolga javob bersa-da, bunday o’sishning nisbiy o’lchamlari haqida hech qanday ma’lumot bermaydi. Bunday ma’lumot esa investor uchun juda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zarur. Bu kamchilikni to’ldirish uchun boshqa bir ko’rsatkich investitsiyalar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rentabelligini hisoblash usulidan foydalaniladi.</w:t>
      </w:r>
    </w:p>
    <w:p w14:paraId="419693E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b/>
          <w:color w:val="000000"/>
          <w:sz w:val="28"/>
          <w:szCs w:val="28"/>
          <w:lang w:val="en-US"/>
        </w:rPr>
        <w:t xml:space="preserve">Investitsiya rentabelligi PI </w:t>
      </w:r>
      <w:r>
        <w:rPr>
          <w:rFonts w:ascii="Times New Roman" w:hAnsi="Times New Roman" w:eastAsia="LiberationSerif-Bold" w:cs="Times New Roman"/>
          <w:color w:val="000000"/>
          <w:sz w:val="28"/>
          <w:szCs w:val="28"/>
          <w:lang w:val="en-US"/>
        </w:rPr>
        <w:t xml:space="preserve">(ingl. </w:t>
      </w:r>
      <w:r>
        <w:rPr>
          <w:rFonts w:ascii="Times New Roman" w:hAnsi="Times New Roman" w:cs="Times New Roman"/>
          <w:sz w:val="28"/>
          <w:szCs w:val="28"/>
          <w:lang w:val="en-US"/>
        </w:rPr>
        <w:t>profitability index</w:t>
      </w:r>
      <w:r>
        <w:rPr>
          <w:rFonts w:ascii="Times New Roman" w:hAnsi="Times New Roman" w:eastAsia="LiberationSerif-Bold" w:cs="Times New Roman"/>
          <w:color w:val="000000"/>
          <w:sz w:val="28"/>
          <w:szCs w:val="28"/>
          <w:lang w:val="en-US"/>
        </w:rPr>
        <w:t>) qilingan har bir so’m investitsiyaga qanday darajada foyda olinganligini, yoki investor boyligi qanchaga ko’payganini ifodalaydigan ko’rsatkichdir. Ko’pincha, foyda me’yori, deyiladigan bu ko’rsatkichni quyidagi formula bilan aniqlash mumkin (15-formula):</w:t>
      </w:r>
    </w:p>
    <w:p w14:paraId="734CC2A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rPr>
        <w:pict>
          <v:shape id="_x0000_s1030" o:spid="_x0000_s1030" o:spt="32" type="#_x0000_t32" style="position:absolute;left:0pt;flip:x y;margin-left:273.9pt;margin-top:1.4pt;height:0.05pt;width:6.4pt;z-index:251663360;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27" o:spid="_x0000_s1027" o:spt="32" type="#_x0000_t32" style="position:absolute;left:0pt;margin-left:197.1pt;margin-top:1.4pt;height:0.05pt;width:9pt;z-index:251660288;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26" o:spid="_x0000_s1026" o:spt="32" type="#_x0000_t32" style="position:absolute;left:0pt;flip:x;margin-left:197.05pt;margin-top:1.4pt;height:47.8pt;width:0.05pt;z-index:251659264;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29" o:spid="_x0000_s1029" o:spt="32" type="#_x0000_t32" style="position:absolute;left:0pt;margin-left:280.3pt;margin-top:1.4pt;height:52.1pt;width:0pt;z-index:251662336;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p>
    <w:p w14:paraId="3E14037A">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PI q   ∑ -------------  G’ I</w:t>
      </w:r>
      <w:r>
        <w:rPr>
          <w:rFonts w:ascii="Times New Roman" w:hAnsi="Times New Roman" w:eastAsia="LiberationSerif-Bold" w:cs="Times New Roman"/>
          <w:color w:val="000000"/>
          <w:sz w:val="28"/>
          <w:szCs w:val="28"/>
          <w:vertAlign w:val="subscript"/>
          <w:lang w:val="en-US"/>
        </w:rPr>
        <w:t>0</w:t>
      </w:r>
    </w:p>
    <w:p w14:paraId="539220E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p>
    <w:p w14:paraId="6533CC1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rPr>
        <w:pict>
          <v:shape id="_x0000_s1031" o:spid="_x0000_s1031" o:spt="32" type="#_x0000_t32" style="position:absolute;left:0pt;flip:x;margin-left:273.9pt;margin-top:5.2pt;height:0pt;width:6.4pt;z-index:251664384;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28" o:spid="_x0000_s1028" o:spt="32" type="#_x0000_t32" style="position:absolute;left:0pt;margin-left:197.05pt;margin-top:0.9pt;height:0pt;width:9.05pt;z-index:251661312;mso-width-relative:page;mso-height-relative:page;" o:connectortype="straight" filled="f" coordsize="21600,21600">
            <v:path arrowok="t"/>
            <v:fill on="f" focussize="0,0"/>
            <v:stroke/>
            <v:imagedata o:title=""/>
            <o:lock v:ext="edit"/>
          </v:shape>
        </w:pict>
      </w:r>
    </w:p>
    <w:p w14:paraId="738ACDA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Bunda: I</w:t>
      </w:r>
      <w:r>
        <w:rPr>
          <w:rFonts w:ascii="Times New Roman" w:hAnsi="Times New Roman" w:eastAsia="LiberationSerif-Bold" w:cs="Times New Roman"/>
          <w:color w:val="000000"/>
          <w:sz w:val="28"/>
          <w:szCs w:val="28"/>
          <w:vertAlign w:val="subscript"/>
          <w:lang w:val="en-US"/>
        </w:rPr>
        <w:t>0</w:t>
      </w:r>
      <w:r>
        <w:rPr>
          <w:rFonts w:ascii="Times New Roman" w:hAnsi="Times New Roman" w:eastAsia="LiberationSerif-Bold" w:cs="Times New Roman"/>
          <w:color w:val="000000"/>
          <w:sz w:val="28"/>
          <w:szCs w:val="28"/>
          <w:lang w:val="en-US"/>
        </w:rPr>
        <w:t xml:space="preserve"> - dastlabki investitsiya summasi;</w:t>
      </w:r>
    </w:p>
    <w:p w14:paraId="69DEE70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CF - pul tushumlari;</w:t>
      </w:r>
    </w:p>
    <w:p w14:paraId="49C3413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t – davr.</w:t>
      </w:r>
    </w:p>
    <w:p w14:paraId="0120336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Agar «uzoq muddatli xarajatlar - uzoq muddatli tushumlar» holati bo’lsa bunda formula quyidagi shaklga ‘ga bo’ladi(16-formula):</w:t>
      </w:r>
    </w:p>
    <w:p w14:paraId="75900C6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n</w:t>
      </w:r>
      <w:r>
        <w:rPr>
          <w:rFonts w:ascii="Times New Roman" w:hAnsi="Times New Roman" w:eastAsia="LiberationSerif-Bold" w:cs="Times New Roman"/>
          <w:color w:val="000000"/>
          <w:sz w:val="28"/>
          <w:szCs w:val="28"/>
          <w:lang w:val="en-US"/>
        </w:rPr>
        <w:t xml:space="preserve">         I</w:t>
      </w:r>
      <w:r>
        <w:rPr>
          <w:rFonts w:ascii="Times New Roman" w:hAnsi="Times New Roman" w:eastAsia="LiberationSerif-Bold" w:cs="Times New Roman"/>
          <w:color w:val="000000"/>
          <w:sz w:val="28"/>
          <w:szCs w:val="28"/>
          <w:vertAlign w:val="subscript"/>
          <w:lang w:val="en-US"/>
        </w:rPr>
        <w:t>t</w:t>
      </w:r>
    </w:p>
    <w:p w14:paraId="670D2344">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PI q ∑ -------------  G’  ∑ -------------</w:t>
      </w:r>
    </w:p>
    <w:p w14:paraId="7D27C21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tq1</w:t>
      </w:r>
      <w:r>
        <w:rPr>
          <w:rFonts w:ascii="Times New Roman" w:hAnsi="Times New Roman" w:eastAsia="LiberationSerif-Bold" w:cs="Times New Roman"/>
          <w:color w:val="000000"/>
          <w:sz w:val="28"/>
          <w:szCs w:val="28"/>
          <w:lang w:val="en-US"/>
        </w:rPr>
        <w:t xml:space="preserve">    (1Qk)</w:t>
      </w:r>
      <w:r>
        <w:rPr>
          <w:rFonts w:ascii="Times New Roman" w:hAnsi="Times New Roman" w:eastAsia="LiberationSerif-Bold" w:cs="Times New Roman"/>
          <w:color w:val="000000"/>
          <w:sz w:val="28"/>
          <w:szCs w:val="28"/>
          <w:vertAlign w:val="superscript"/>
          <w:lang w:val="en-US"/>
        </w:rPr>
        <w:t>t</w:t>
      </w:r>
    </w:p>
    <w:p w14:paraId="2D2E1A9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Oldingi misolga (modalar uyi) qaytib loyihaning rentabellik darajasini aniqlaymiz:</w:t>
      </w:r>
    </w:p>
    <w:p w14:paraId="47326354">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PI q 100 * 6.1446 G’ 500 q 1,23 q 123%</w:t>
      </w:r>
    </w:p>
    <w:p w14:paraId="6A949164">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ya’ni loyiha uchun sarf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tilgan har bir so’m 0,23 so’m sof joriy daromad olib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kelmoqda.</w:t>
      </w:r>
    </w:p>
    <w:p w14:paraId="67504A0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w:t>
      </w:r>
      <w:r>
        <w:rPr>
          <w:rFonts w:ascii="Times New Roman" w:hAnsi="Times New Roman" w:eastAsia="LiberationSerif-Bold" w:cs="Times New Roman"/>
          <w:color w:val="000000"/>
          <w:sz w:val="28"/>
          <w:szCs w:val="28"/>
          <w:lang w:val="uz-Cyrl-UZ"/>
        </w:rPr>
        <w:t>6</w:t>
      </w:r>
      <w:r>
        <w:rPr>
          <w:rFonts w:ascii="Times New Roman" w:hAnsi="Times New Roman" w:eastAsia="LiberationSerif-Bold" w:cs="Times New Roman"/>
          <w:color w:val="000000"/>
          <w:sz w:val="28"/>
          <w:szCs w:val="28"/>
          <w:lang w:val="en-US"/>
        </w:rPr>
        <w:t>-formuladan ko’rinib turibdiki, unda sof joriy qiymatning ikki tomoni –</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daromad va investitsiya tomoni o’zaro taqqoslanadi. Agar diskontning qandaydir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darajasida loyihaning rentabelligi birga teng bo’lsa, u holda keltirilgan investitsiya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xarajatlari keltirilgan daromadlarga teng bo’ladi va loyihaning sof keltirilgan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diskontlangan daromadi nolga teng bo’ladi.</w:t>
      </w:r>
    </w:p>
    <w:p w14:paraId="7C7F8D4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Agar NPV musbat bo’lsa, PI albatta 1 dan katta bo’ladi. Demak, PI </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1 dan kata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bo’lsa, investitsiyalar samarali hisoblanadi.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uni ta’kidlash joizki, PI</w:t>
      </w:r>
      <w:r>
        <w:rPr>
          <w:rFonts w:ascii="Times New Roman" w:hAnsi="Times New Roman" w:eastAsia="LiberationSerif-Bold" w:cs="Times New Roman"/>
          <w:color w:val="000000"/>
          <w:sz w:val="28"/>
          <w:szCs w:val="28"/>
          <w:lang w:val="uz-Cyrl-UZ"/>
        </w:rPr>
        <w:t xml:space="preserve"> investitsiyalarning mutlaq samaradorligi ko’rsatkichi bo’lishi bilan birga investitsiya </w:t>
      </w:r>
      <w:r>
        <w:rPr>
          <w:rFonts w:ascii="Times New Roman" w:hAnsi="Times New Roman" w:eastAsia="LiberationSerif-Bold" w:cs="Times New Roman"/>
          <w:color w:val="000000"/>
          <w:sz w:val="28"/>
          <w:szCs w:val="28"/>
          <w:lang w:val="en-US"/>
        </w:rPr>
        <w:t>loyihalarini yana ikki jihatdan turib baholash imkonini beradi.</w:t>
      </w:r>
    </w:p>
    <w:p w14:paraId="1801024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Birinchidan, bu ko’rsatkich yordamida loyihaning barqarorligi darajasini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tekshirib ko’rish mumkin. </w:t>
      </w:r>
      <w:r>
        <w:rPr>
          <w:rFonts w:ascii="Times New Roman" w:hAnsi="Times New Roman" w:eastAsia="LiberationSerif-Bold" w:cs="Times New Roman"/>
          <w:color w:val="000000"/>
          <w:sz w:val="28"/>
          <w:szCs w:val="28"/>
          <w:lang w:val="uz-Cyrl-UZ"/>
        </w:rPr>
        <w:t>Ya</w:t>
      </w:r>
      <w:r>
        <w:rPr>
          <w:rFonts w:ascii="Times New Roman" w:hAnsi="Times New Roman" w:eastAsia="LiberationSerif-Bold" w:cs="Times New Roman"/>
          <w:color w:val="000000"/>
          <w:sz w:val="28"/>
          <w:szCs w:val="28"/>
          <w:lang w:val="en-US"/>
        </w:rPr>
        <w:t>’ni PI qancha katta bo’lsa, loyihaning mustahkamligi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(barqarorligi darajasi) shuncha katta bo’ladi. Bunday loyiha sharoitlar o’zgarishi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ta’sirida darhol foyda keltirmaydigan loyihaga aylanib qolmaydi.</w:t>
      </w:r>
    </w:p>
    <w:p w14:paraId="701C94C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Ikkinchidan, PI mutaxassislarga turli investitsiyalarni ularning samaraliligi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nuqtai nazaridan taqqoslash imkonini beradi.</w:t>
      </w:r>
    </w:p>
    <w:p w14:paraId="02B52BB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b/>
          <w:color w:val="000000"/>
          <w:sz w:val="28"/>
          <w:szCs w:val="28"/>
          <w:lang w:val="en-US"/>
        </w:rPr>
        <w:t>Ichki foyda me’yori</w:t>
      </w:r>
      <w:r>
        <w:rPr>
          <w:rFonts w:ascii="Times New Roman" w:hAnsi="Times New Roman" w:eastAsia="LiberationSerif-Bold" w:cs="Times New Roman"/>
          <w:color w:val="000000"/>
          <w:sz w:val="28"/>
          <w:szCs w:val="28"/>
          <w:lang w:val="en-US"/>
        </w:rPr>
        <w:t xml:space="preserve"> (ingl. </w:t>
      </w:r>
      <w:r>
        <w:rPr>
          <w:rFonts w:ascii="Times New Roman" w:hAnsi="Times New Roman" w:cs="Times New Roman"/>
          <w:sz w:val="28"/>
          <w:szCs w:val="28"/>
          <w:lang w:val="en-US"/>
        </w:rPr>
        <w:t>Internal rate of return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IRR</w:t>
      </w:r>
      <w:r>
        <w:rPr>
          <w:rFonts w:ascii="Times New Roman" w:hAnsi="Times New Roman" w:eastAsia="LiberationSerif-Bold" w:cs="Times New Roman"/>
          <w:color w:val="000000"/>
          <w:sz w:val="28"/>
          <w:szCs w:val="28"/>
          <w:lang w:val="en-US"/>
        </w:rPr>
        <w:t>) – daromadlilikning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shunday me’yoriki, unda pul tushumlarining diskontlangan qiymati pul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chiqimlarining diskontlangan qiymatiga teng bo’ladi. Boshqacha qilib aytganda, IRR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 bo’yicha investitsiyalashdan olingan sof tushumlarning diskontlangan qiymati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investitsiyalarning diskontlangan qiymatiga teng bo’lishini ta’minlovchi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ffitsientdir.</w:t>
      </w:r>
    </w:p>
    <w:p w14:paraId="3080F13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Uni hisoblash uchun sof joriy qiymatni hisoblashda qo’llaniladigan formulalar qo’llaniladi. Ammo bunda berilgan minimal foiz me’yorida (diskont stavkasida) pul oqimlarini diskontlash o’rniga foiz me’yori (diskont)ning NPV ni nolga teng bo’lishini ta’minlovchi miqdori topiladi. Shunday qilib, IRR – diskont koeffitsientining shunday miqdoriki, bunda NPV 0 ga teng bo’ladi. Buni grafikda quyidagicha tasvirlash mumkin:</w:t>
      </w:r>
    </w:p>
    <w:p w14:paraId="459E85C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NPV ning diskontlash koeffitsientiga bog’liqligi grafigi.</w:t>
      </w:r>
    </w:p>
    <w:p w14:paraId="3BFEA6EE">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rPr>
        <w:pict>
          <v:shape id="_x0000_s1032" o:spid="_x0000_s1032" o:spt="32" type="#_x0000_t32" style="position:absolute;left:0pt;flip:y;margin-left:47.15pt;margin-top:8.4pt;height:145.05pt;width:0.05pt;z-index:251665408;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sz w:val="28"/>
          <w:szCs w:val="28"/>
          <w:lang w:val="uz-Cyrl-UZ"/>
        </w:rPr>
        <w:t xml:space="preserve">    NPV</w:t>
      </w:r>
    </w:p>
    <w:p w14:paraId="634D12F1">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rPr>
        <w:pict>
          <v:shape id="_x0000_s1034" o:spid="_x0000_s1034" o:spt="32" type="#_x0000_t32" style="position:absolute;left:0pt;margin-left:67.55pt;margin-top:12.7pt;height:117.1pt;width:134.35pt;z-index:251667456;mso-width-relative:page;mso-height-relative:page;" o:connectortype="straight" filled="f" coordsize="21600,21600">
            <v:path arrowok="t"/>
            <v:fill on="f" focussize="0,0"/>
            <v:stroke/>
            <v:imagedata o:title=""/>
            <o:lock v:ext="edit"/>
          </v:shape>
        </w:pict>
      </w:r>
    </w:p>
    <w:p w14:paraId="63C6CF16">
      <w:pPr>
        <w:autoSpaceDE w:val="0"/>
        <w:autoSpaceDN w:val="0"/>
        <w:adjustRightInd w:val="0"/>
        <w:spacing w:after="0" w:line="240" w:lineRule="auto"/>
        <w:jc w:val="both"/>
        <w:rPr>
          <w:rFonts w:ascii="Times New Roman" w:hAnsi="Times New Roman" w:cs="Times New Roman"/>
          <w:sz w:val="28"/>
          <w:szCs w:val="28"/>
          <w:lang w:val="uz-Cyrl-UZ"/>
        </w:rPr>
      </w:pPr>
    </w:p>
    <w:p w14:paraId="73E979F5">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I</w:t>
      </w:r>
    </w:p>
    <w:p w14:paraId="552E687F">
      <w:pPr>
        <w:autoSpaceDE w:val="0"/>
        <w:autoSpaceDN w:val="0"/>
        <w:adjustRightInd w:val="0"/>
        <w:spacing w:after="0" w:line="240" w:lineRule="auto"/>
        <w:jc w:val="both"/>
        <w:rPr>
          <w:rFonts w:ascii="Times New Roman" w:hAnsi="Times New Roman" w:cs="Times New Roman"/>
          <w:sz w:val="28"/>
          <w:szCs w:val="28"/>
          <w:lang w:val="uz-Cyrl-UZ"/>
        </w:rPr>
      </w:pPr>
    </w:p>
    <w:p w14:paraId="15168E20">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Q</w:t>
      </w:r>
    </w:p>
    <w:p w14:paraId="7CEC3BFB">
      <w:pPr>
        <w:autoSpaceDE w:val="0"/>
        <w:autoSpaceDN w:val="0"/>
        <w:adjustRightInd w:val="0"/>
        <w:spacing w:after="0" w:line="240" w:lineRule="auto"/>
        <w:jc w:val="both"/>
        <w:rPr>
          <w:rFonts w:ascii="Times New Roman" w:hAnsi="Times New Roman" w:cs="Times New Roman"/>
          <w:sz w:val="28"/>
          <w:szCs w:val="28"/>
          <w:lang w:val="uz-Cyrl-UZ"/>
        </w:rPr>
      </w:pPr>
    </w:p>
    <w:p w14:paraId="5821076C">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rPr>
        <w:pict>
          <v:shape id="_x0000_s1033" o:spid="_x0000_s1033" o:spt="32" type="#_x0000_t32" style="position:absolute;left:0pt;margin-left:47.15pt;margin-top:6.4pt;height:0pt;width:178.35pt;z-index:251666432;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sz w:val="28"/>
          <w:szCs w:val="28"/>
          <w:lang w:val="uz-Cyrl-UZ"/>
        </w:rPr>
        <w:t xml:space="preserve">          0                                          </w:t>
      </w:r>
    </w:p>
    <w:p w14:paraId="5DA9274E">
      <w:pPr>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IRR                              -</w:t>
      </w:r>
    </w:p>
    <w:p w14:paraId="6CE3EDA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0954C25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Yuqoridagi grafikdan kurinib turibdiki, IRR diskontlash koeffitsientining shunday miqdoriki, unda NPV gorizontal o’qni kesib o’tadi, ya’ni nolga teng bo’ladi.</w:t>
      </w:r>
    </w:p>
    <w:p w14:paraId="36670E1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Iqtisodiy adabiyotda ichki foyda me’yorini ichki daromad me’yori, qoplash koeffitsienti yoki samarasi, ba’zida esa kapital qo’yilmalar samarasi, deb ham ataladi.</w:t>
      </w:r>
    </w:p>
    <w:p w14:paraId="10032DC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IRR ni hisoblash usuli NPV ni hisoblash usuli singari diskontlash konseptsiyasiga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asoslanadi. IRR miqdorini ikki usulda topish mumkin:</w:t>
      </w:r>
    </w:p>
    <w:p w14:paraId="4953C6A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Birinchi usulda sof joriy qiymatni hisoblash formulasida NPV mi</w:t>
      </w:r>
      <w:r>
        <w:rPr>
          <w:rFonts w:ascii="Times New Roman" w:hAnsi="Times New Roman" w:eastAsia="LiberationSerif-Bold" w:cs="Times New Roman"/>
          <w:color w:val="000000"/>
          <w:sz w:val="28"/>
          <w:szCs w:val="28"/>
          <w:lang w:val="uz-Cyrl-UZ"/>
        </w:rPr>
        <w:t>q</w:t>
      </w:r>
      <w:r>
        <w:rPr>
          <w:rFonts w:ascii="Times New Roman" w:hAnsi="Times New Roman" w:eastAsia="LiberationSerif-Bold" w:cs="Times New Roman"/>
          <w:color w:val="000000"/>
          <w:sz w:val="28"/>
          <w:szCs w:val="28"/>
          <w:lang w:val="en-US"/>
        </w:rPr>
        <w:t>dori nolga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tenglashtirib olinib, diskonlash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ffitsienti hisoblab topiladi. </w:t>
      </w:r>
      <w:r>
        <w:rPr>
          <w:rFonts w:ascii="Times New Roman" w:hAnsi="Times New Roman" w:eastAsia="LiberationSerif-Bold" w:cs="Times New Roman"/>
          <w:color w:val="000000"/>
          <w:sz w:val="28"/>
          <w:szCs w:val="28"/>
          <w:lang w:val="uz-Cyrl-UZ"/>
        </w:rPr>
        <w:t>Ya</w:t>
      </w:r>
      <w:r>
        <w:rPr>
          <w:rFonts w:ascii="Times New Roman" w:hAnsi="Times New Roman" w:eastAsia="LiberationSerif-Bold" w:cs="Times New Roman"/>
          <w:color w:val="000000"/>
          <w:sz w:val="28"/>
          <w:szCs w:val="28"/>
          <w:lang w:val="en-US"/>
        </w:rPr>
        <w:t>’ni quyidagi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formulalardagi k miqdori topiladi (17, 18 -formulalar).</w:t>
      </w:r>
    </w:p>
    <w:p w14:paraId="59063E7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p>
    <w:p w14:paraId="6C8DE89F">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0 q ∑ ------------- - I</w:t>
      </w:r>
      <w:r>
        <w:rPr>
          <w:rFonts w:ascii="Times New Roman" w:hAnsi="Times New Roman" w:eastAsia="LiberationSerif-Bold" w:cs="Times New Roman"/>
          <w:color w:val="000000"/>
          <w:sz w:val="28"/>
          <w:szCs w:val="28"/>
          <w:vertAlign w:val="subscript"/>
          <w:lang w:val="en-US"/>
        </w:rPr>
        <w:t>0</w:t>
      </w:r>
    </w:p>
    <w:p w14:paraId="3F5E362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p>
    <w:p w14:paraId="254AC82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p>
    <w:p w14:paraId="5A542AC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n</w:t>
      </w:r>
      <w:r>
        <w:rPr>
          <w:rFonts w:ascii="Times New Roman" w:hAnsi="Times New Roman" w:eastAsia="LiberationSerif-Bold" w:cs="Times New Roman"/>
          <w:color w:val="000000"/>
          <w:sz w:val="28"/>
          <w:szCs w:val="28"/>
          <w:lang w:val="en-US"/>
        </w:rPr>
        <w:t xml:space="preserve">         I</w:t>
      </w:r>
      <w:r>
        <w:rPr>
          <w:rFonts w:ascii="Times New Roman" w:hAnsi="Times New Roman" w:eastAsia="LiberationSerif-Bold" w:cs="Times New Roman"/>
          <w:color w:val="000000"/>
          <w:sz w:val="28"/>
          <w:szCs w:val="28"/>
          <w:vertAlign w:val="subscript"/>
          <w:lang w:val="en-US"/>
        </w:rPr>
        <w:t>t</w:t>
      </w:r>
    </w:p>
    <w:p w14:paraId="6312F481">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0 q ∑ -------------  -  ∑ -------------</w:t>
      </w:r>
    </w:p>
    <w:p w14:paraId="7545F91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tq1</w:t>
      </w:r>
      <w:r>
        <w:rPr>
          <w:rFonts w:ascii="Times New Roman" w:hAnsi="Times New Roman" w:eastAsia="LiberationSerif-Bold" w:cs="Times New Roman"/>
          <w:color w:val="000000"/>
          <w:sz w:val="28"/>
          <w:szCs w:val="28"/>
          <w:lang w:val="en-US"/>
        </w:rPr>
        <w:t xml:space="preserve">    (1Qk)</w:t>
      </w:r>
      <w:r>
        <w:rPr>
          <w:rFonts w:ascii="Times New Roman" w:hAnsi="Times New Roman" w:eastAsia="LiberationSerif-Bold" w:cs="Times New Roman"/>
          <w:color w:val="000000"/>
          <w:sz w:val="28"/>
          <w:szCs w:val="28"/>
          <w:vertAlign w:val="superscript"/>
          <w:lang w:val="en-US"/>
        </w:rPr>
        <w:t>t</w:t>
      </w:r>
    </w:p>
    <w:p w14:paraId="152C5C7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formulalar yordamida aniq javob olish qiyin. Olingan natijalar ma’lum darajada taqribiy bo’ladi. Ichki foyda me’yorini topish uchun «sinov va xato» usulidan foydalaniladi, ya’ni formulaga diskontning ancha katta va kichik miqdorlari berilib olingan natija solishtiriladi. Agar olingan natijalardan biri nolga yaqinroq bo’lsa, bunga sabab bo’lgan diskont stavkasiga yaqin miqdorlar berilib, formula, natija toki nolga maksimal darajada yaqinlashmaguncha echiladi.</w:t>
      </w:r>
    </w:p>
    <w:p w14:paraId="0F83CA0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Ikkinchi usulda IRR miqdorini topish uchun keltirish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jadvallaridan foydalaniladi.</w:t>
      </w:r>
    </w:p>
    <w:p w14:paraId="4A7087C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Misol: Aytaylik, transport firmasi 40 mln. so’mga yuk tashish mashinasini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sotib olmoqchi. Uni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kspluatatsiya qilish 20 yil davomida yiliga 3,2 mln. sum pul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tushumlarini keltirishi kutilmoqda. Pul tushumlari yil oxirida bo’ladi deb hisoblasak,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annuitet holatiga duch kelamiz.</w:t>
      </w:r>
    </w:p>
    <w:p w14:paraId="65D2B965">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RVA</w:t>
      </w:r>
      <w:r>
        <w:rPr>
          <w:rFonts w:ascii="Times New Roman" w:hAnsi="Times New Roman" w:eastAsia="LiberationSerif-Bold" w:cs="Times New Roman"/>
          <w:color w:val="000000"/>
          <w:sz w:val="28"/>
          <w:szCs w:val="28"/>
          <w:vertAlign w:val="subscript"/>
          <w:lang w:val="en-US"/>
        </w:rPr>
        <w:t>n</w:t>
      </w:r>
      <w:r>
        <w:rPr>
          <w:rFonts w:ascii="Times New Roman" w:hAnsi="Times New Roman" w:eastAsia="LiberationSerif-Bold" w:cs="Times New Roman"/>
          <w:color w:val="000000"/>
          <w:sz w:val="28"/>
          <w:szCs w:val="28"/>
          <w:lang w:val="en-US"/>
        </w:rPr>
        <w:t xml:space="preserve"> q RMT</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 PVA1</w:t>
      </w:r>
      <w:r>
        <w:rPr>
          <w:rFonts w:ascii="Times New Roman" w:hAnsi="Times New Roman" w:eastAsia="LiberationSerif-Bold" w:cs="Times New Roman"/>
          <w:color w:val="000000"/>
          <w:sz w:val="28"/>
          <w:szCs w:val="28"/>
          <w:vertAlign w:val="subscript"/>
          <w:lang w:val="en-US"/>
        </w:rPr>
        <w:t>n, k</w:t>
      </w:r>
    </w:p>
    <w:p w14:paraId="150D7698">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40 q 3,2 * PVA1</w:t>
      </w:r>
      <w:r>
        <w:rPr>
          <w:rFonts w:ascii="Times New Roman" w:hAnsi="Times New Roman" w:eastAsia="LiberationSerif-Bold" w:cs="Times New Roman"/>
          <w:color w:val="000000"/>
          <w:sz w:val="28"/>
          <w:szCs w:val="28"/>
          <w:vertAlign w:val="subscript"/>
          <w:lang w:val="en-US"/>
        </w:rPr>
        <w:t>n, k</w:t>
      </w:r>
    </w:p>
    <w:p w14:paraId="6F662240">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PVA1</w:t>
      </w:r>
      <w:r>
        <w:rPr>
          <w:rFonts w:ascii="Times New Roman" w:hAnsi="Times New Roman" w:eastAsia="LiberationSerif-Bold" w:cs="Times New Roman"/>
          <w:color w:val="000000"/>
          <w:sz w:val="28"/>
          <w:szCs w:val="28"/>
          <w:vertAlign w:val="subscript"/>
          <w:lang w:val="en-US"/>
        </w:rPr>
        <w:t>n, k</w:t>
      </w:r>
      <w:r>
        <w:rPr>
          <w:rFonts w:ascii="Times New Roman" w:hAnsi="Times New Roman" w:eastAsia="LiberationSerif-Bold" w:cs="Times New Roman"/>
          <w:color w:val="000000"/>
          <w:sz w:val="28"/>
          <w:szCs w:val="28"/>
          <w:lang w:val="en-US"/>
        </w:rPr>
        <w:t xml:space="preserve"> q 40 : 3,2 q 12,5</w:t>
      </w:r>
    </w:p>
    <w:p w14:paraId="6BCC3A3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Annuitetning joriy qiymatini hisoblash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ffitsientlari jadvalidan 20-qatorda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(20 yillik muddat) olingan natijaga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ng yaqin miqdor 12,462 bo’ladi. Bu miqdor 5%</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lik diskont stavkasiga mos keladi. Ayni shu diskont stavkasida kelgusida mashinani</w:t>
      </w:r>
      <w:r>
        <w:rPr>
          <w:rFonts w:ascii="Times New Roman" w:hAnsi="Times New Roman" w:eastAsia="LiberationSerif-Bold" w:cs="Times New Roman"/>
          <w:color w:val="000000"/>
          <w:sz w:val="28"/>
          <w:szCs w:val="28"/>
          <w:lang w:val="uz-Cyrl-UZ"/>
        </w:rPr>
        <w:t xml:space="preserve"> e</w:t>
      </w:r>
      <w:r>
        <w:rPr>
          <w:rFonts w:ascii="Times New Roman" w:hAnsi="Times New Roman" w:eastAsia="LiberationSerif-Bold" w:cs="Times New Roman"/>
          <w:color w:val="000000"/>
          <w:sz w:val="28"/>
          <w:szCs w:val="28"/>
          <w:lang w:val="en-US"/>
        </w:rPr>
        <w:t>kspluatatsiya qilishdan olingan pul tushumlarining diskontlangan joriy qiymati uni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sotib olish uchun qilingan hozirgi investitsiyalarga teng bo’ladi, ya’ni NPV 0 ga teng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bo’ladi. Demak, mazkur loyihada IRR 0,05 ga teng.</w:t>
      </w:r>
    </w:p>
    <w:p w14:paraId="3874ADB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IRR ba’zida tekshiruv diskonti deb ham ataladi, chunki u diskontlash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ffitsientining loyihalarini samarali va samarasiz turlarga ajratish imkonini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beruvchi darajasidir. Buning uchun IRR firmaga standart sifatida qabul qilingan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mablag’larning qoplanish darajasi bilan solishtiriladi. Bunday qo’yilmalar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rentabelligining standart darajasi barer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ffitsienti HR (ingl. </w:t>
      </w:r>
      <w:r>
        <w:rPr>
          <w:rFonts w:ascii="Times New Roman" w:hAnsi="Times New Roman" w:cs="Times New Roman"/>
          <w:sz w:val="28"/>
          <w:szCs w:val="28"/>
          <w:lang w:val="en-US"/>
        </w:rPr>
        <w:t>hardle rate</w:t>
      </w:r>
      <w:r>
        <w:rPr>
          <w:rFonts w:ascii="Times New Roman" w:hAnsi="Times New Roman" w:eastAsia="LiberationSerif-Bold" w:cs="Times New Roman"/>
          <w:color w:val="000000"/>
          <w:sz w:val="28"/>
          <w:szCs w:val="28"/>
          <w:lang w:val="en-US"/>
        </w:rPr>
        <w:t>) deb ham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ataladi.</w:t>
      </w:r>
    </w:p>
    <w:p w14:paraId="2F7F9C14">
      <w:pPr>
        <w:pStyle w:val="7"/>
        <w:numPr>
          <w:ilvl w:val="0"/>
          <w:numId w:val="1"/>
        </w:numPr>
        <w:autoSpaceDE w:val="0"/>
        <w:autoSpaceDN w:val="0"/>
        <w:adjustRightInd w:val="0"/>
        <w:spacing w:after="0" w:line="240" w:lineRule="auto"/>
        <w:ind w:left="0"/>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agar IRR ›</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HR - bo’lsa loyiha ma’qul;</w:t>
      </w:r>
    </w:p>
    <w:p w14:paraId="6666EB47">
      <w:pPr>
        <w:pStyle w:val="7"/>
        <w:numPr>
          <w:ilvl w:val="0"/>
          <w:numId w:val="1"/>
        </w:numPr>
        <w:autoSpaceDE w:val="0"/>
        <w:autoSpaceDN w:val="0"/>
        <w:adjustRightInd w:val="0"/>
        <w:spacing w:after="0" w:line="240" w:lineRule="auto"/>
        <w:ind w:left="0"/>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agar IRR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HR - bo’lsa loyiha ma’qul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mas;</w:t>
      </w:r>
    </w:p>
    <w:p w14:paraId="579931CC">
      <w:pPr>
        <w:pStyle w:val="7"/>
        <w:numPr>
          <w:ilvl w:val="0"/>
          <w:numId w:val="1"/>
        </w:numPr>
        <w:autoSpaceDE w:val="0"/>
        <w:autoSpaceDN w:val="0"/>
        <w:adjustRightInd w:val="0"/>
        <w:spacing w:after="0" w:line="240" w:lineRule="auto"/>
        <w:ind w:left="0"/>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agar IRR q HR – bo’lsa loyiha har qanday qaror qabul qilish mumkin.</w:t>
      </w:r>
    </w:p>
    <w:p w14:paraId="6C8A8ED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IRR › HR bo’lgan holatda NPV musbat, investitsiyalar rentabelligi esa birdan yuqori. IRR ‹ HR bo’lsa, NPV manfiy, PI esa birdan kichik bo’ladi.</w:t>
      </w:r>
    </w:p>
    <w:p w14:paraId="5877882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Shunday qilib, IRR ma’qul bo’lmagan loyihalarni ajratib oluvchi tur vazifasini o’taydi.</w:t>
      </w:r>
    </w:p>
    <w:p w14:paraId="5B13539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Bundan tashqari bu ko’rsatkich loyiha bo’yicha tavakkal xavfi darajasi indikatori hisoblanadi. IRR barer koeffitsientidan qanchalik katta bo’lsa, loyihaning mustahkamligi zahirasi shuncha katta bo’ladi. Bu esa kelgusidagi pul tushumlarini baholashda yo’l qo’yiladigan xatolar natijasida ko’riladigan zarar xavfi kam bo’lishini ta’minlaydi.</w:t>
      </w:r>
    </w:p>
    <w:p w14:paraId="1D5630FA">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679DD3AC">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5.3.Investitsiya loyihalarini baholashning sodda uslublari</w:t>
      </w:r>
    </w:p>
    <w:p w14:paraId="2CFE755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2B84409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Endi investitsiya loyihalarini baholashning soda (statik) usullarini ko’rib chiqamiz. Bu uslublar diskontlash kontseptsiyasi paydo bo’lmasdan oldin ham keng qo’llanilgan bo’lib, ular yordamida, asosan pul kirimlari va chiqimlarini taqqoslash orqali loyihalarning maqsadga muvofiqligi aniqlanadi.</w:t>
      </w:r>
    </w:p>
    <w:p w14:paraId="55E8D1B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b/>
          <w:color w:val="000000"/>
          <w:sz w:val="28"/>
          <w:szCs w:val="28"/>
          <w:lang w:val="en-US"/>
        </w:rPr>
        <w:t>Investitsiyalarning qoplanish davri - RR</w:t>
      </w:r>
      <w:r>
        <w:rPr>
          <w:rFonts w:ascii="Times New Roman" w:hAnsi="Times New Roman" w:eastAsia="LiberationSerif-Bold" w:cs="Times New Roman"/>
          <w:color w:val="000000"/>
          <w:sz w:val="28"/>
          <w:szCs w:val="28"/>
          <w:lang w:val="en-US"/>
        </w:rPr>
        <w:t xml:space="preserve"> (ingl. </w:t>
      </w:r>
      <w:r>
        <w:rPr>
          <w:rFonts w:ascii="Times New Roman" w:hAnsi="Times New Roman" w:cs="Times New Roman"/>
          <w:sz w:val="28"/>
          <w:szCs w:val="28"/>
          <w:lang w:val="en-US"/>
        </w:rPr>
        <w:t>Paybak period</w:t>
      </w:r>
      <w:r>
        <w:rPr>
          <w:rFonts w:ascii="Times New Roman" w:hAnsi="Times New Roman" w:eastAsia="LiberationSerif-Bold" w:cs="Times New Roman"/>
          <w:color w:val="000000"/>
          <w:sz w:val="28"/>
          <w:szCs w:val="28"/>
          <w:lang w:val="en-US"/>
        </w:rPr>
        <w:t>), bu shunday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davrki, bunda dastlabki qilingan investitsiyalar miqdori tiklanadi (19-formula).</w:t>
      </w:r>
    </w:p>
    <w:p w14:paraId="1AAF4604">
      <w:pPr>
        <w:autoSpaceDE w:val="0"/>
        <w:autoSpaceDN w:val="0"/>
        <w:adjustRightInd w:val="0"/>
        <w:spacing w:after="0" w:line="240" w:lineRule="auto"/>
        <w:jc w:val="center"/>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PP q I</w:t>
      </w:r>
      <w:r>
        <w:rPr>
          <w:rFonts w:ascii="Times New Roman" w:hAnsi="Times New Roman" w:eastAsia="LiberationSerif-Bold" w:cs="Times New Roman"/>
          <w:color w:val="000000"/>
          <w:sz w:val="28"/>
          <w:szCs w:val="28"/>
          <w:vertAlign w:val="subscript"/>
          <w:lang w:val="en-US"/>
        </w:rPr>
        <w:t>0</w:t>
      </w:r>
      <w:r>
        <w:rPr>
          <w:rFonts w:ascii="Times New Roman" w:hAnsi="Times New Roman" w:eastAsia="LiberationSerif-Bold" w:cs="Times New Roman"/>
          <w:color w:val="000000"/>
          <w:sz w:val="28"/>
          <w:szCs w:val="28"/>
          <w:lang w:val="en-US"/>
        </w:rPr>
        <w:t xml:space="preserve"> G’ CF*</w:t>
      </w:r>
      <w:r>
        <w:rPr>
          <w:rFonts w:ascii="Times New Roman" w:hAnsi="Times New Roman" w:eastAsia="LiberationSerif-Bold" w:cs="Times New Roman"/>
          <w:color w:val="000000"/>
          <w:sz w:val="28"/>
          <w:szCs w:val="28"/>
          <w:vertAlign w:val="subscript"/>
          <w:lang w:val="en-US"/>
        </w:rPr>
        <w:t>t</w:t>
      </w:r>
    </w:p>
    <w:p w14:paraId="2AE6F9A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Bunda: I</w:t>
      </w:r>
      <w:r>
        <w:rPr>
          <w:rFonts w:ascii="Times New Roman" w:hAnsi="Times New Roman" w:eastAsia="LiberationSerif-Bold" w:cs="Times New Roman"/>
          <w:color w:val="000000"/>
          <w:sz w:val="28"/>
          <w:szCs w:val="28"/>
          <w:vertAlign w:val="subscript"/>
          <w:lang w:val="en-US"/>
        </w:rPr>
        <w:t>0</w:t>
      </w:r>
      <w:r>
        <w:rPr>
          <w:rFonts w:ascii="Times New Roman" w:hAnsi="Times New Roman" w:eastAsia="LiberationSerif-Bold" w:cs="Times New Roman"/>
          <w:color w:val="000000"/>
          <w:sz w:val="28"/>
          <w:szCs w:val="28"/>
          <w:lang w:val="en-US"/>
        </w:rPr>
        <w:t>-dastlabki investitsiya miqdori;</w:t>
      </w:r>
    </w:p>
    <w:p w14:paraId="62040E8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 loyihani amalga oshirish natijasida bir yilda tushadigan mablag’. Bunda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darajasidagi summa belgisiga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’tibor berish kerak. Bu belgi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summasini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ikki usulda (tomonlama) aniqlash mumkinligini ko’rsatadi. Birinchi usul qachonki,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pul tushumlari yil davomida bir xil bo’lsa qo’llaniladi. Aytaylik, biz 600 mln. so’m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 sarf qildik va 8 yil ichida har yili 150 mln.so’mdan daromad olishni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kutayapmiz. Unda 600</w:t>
      </w:r>
      <w:r>
        <w:rPr>
          <w:rFonts w:ascii="Times New Roman" w:hAnsi="Times New Roman" w:eastAsia="LiberationSerif-Bold" w:cs="Times New Roman"/>
          <w:color w:val="000000"/>
          <w:sz w:val="28"/>
          <w:szCs w:val="28"/>
          <w:lang w:val="uz-Cyrl-UZ"/>
        </w:rPr>
        <w:t>G’</w:t>
      </w:r>
      <w:r>
        <w:rPr>
          <w:rFonts w:ascii="Times New Roman" w:hAnsi="Times New Roman" w:eastAsia="LiberationSerif-Bold" w:cs="Times New Roman"/>
          <w:color w:val="000000"/>
          <w:sz w:val="28"/>
          <w:szCs w:val="28"/>
          <w:lang w:val="en-US"/>
        </w:rPr>
        <w:t>150</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 4 yil ichida sarflangan investitsiya qoplanadi va qolgan 4 yil davomida investor sof foyda oladi.</w:t>
      </w:r>
    </w:p>
    <w:p w14:paraId="5C6C921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Ikkinchi usul investitsiya qilingandan keyin, pul tushumlari bir xil bo’lmasa yoki o’sib boruvchi miqdorni tashkil etsa qo’llaniladi. Masalan, yuqorida keltirilgan misolimizda pul tushumlari yillar bo’yicha bir xil bo’lmasdan ortib borsin:</w:t>
      </w:r>
    </w:p>
    <w:p w14:paraId="70FEA3B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1-yil               100 mln. so’m,</w:t>
      </w:r>
    </w:p>
    <w:p w14:paraId="21B829A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2-yil               150 mln. so’m,</w:t>
      </w:r>
    </w:p>
    <w:p w14:paraId="4861536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3-yil               200 mln. so’m,</w:t>
      </w:r>
    </w:p>
    <w:p w14:paraId="23FB48E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4-yil               300 mln. so’m,</w:t>
      </w:r>
    </w:p>
    <w:p w14:paraId="7D42B16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5-yil               350 mln. so’m.</w:t>
      </w:r>
    </w:p>
    <w:p w14:paraId="5582D2C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Bunda 3 yil ichidagi pul tushumlari investitsiya summasidan kam, 4 yil ichidagisi esa ko’p. Bunday holatlarda investitsiyalarni qoplash davrini aniq belgilab olish uchun quyidagi ishlarni bajarish lozim:</w:t>
      </w:r>
    </w:p>
    <w:p w14:paraId="65AC6E8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qaysi yillar orasida investitsiya summasi qoplanishini topish zarur. Bizning misolda 3-4 yillar orasida;</w:t>
      </w:r>
    </w:p>
    <w:p w14:paraId="4653E25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qoplanmagan summa miqdorini aniqlash kerak, bizning misolda bu 150 mln.so’mni (600 - (100 Q 150 Q 200));</w:t>
      </w:r>
    </w:p>
    <w:p w14:paraId="3A5BAA9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aniqlangan qoplanmagan summani 4-yilgi pul tushumlari miqdoriga bo’lish kerak, ya’ni 150 G’ 300 q 0,5. Ko’rinib turibdiki qoplanmagan summa 4-yilning yarmida qoplanadi. Demak, bunda investitsiyalarni qoplash davri 3,5 yilni tashkil qiladi.</w:t>
      </w:r>
    </w:p>
    <w:p w14:paraId="62342E6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Investitsiyalarning qoplanish muddati ko’rsatkichidan quyidagi shartlar bajarilgandagina foydalanish yaxshi natija berishini e’tiborda tutish kerak:</w:t>
      </w:r>
    </w:p>
    <w:p w14:paraId="7630AD0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bu ko’rsatkich yordamida taqqoslanayotgan barcha loyihalar bir xil hayot davriga ega bo’lishi kerak;</w:t>
      </w:r>
    </w:p>
    <w:p w14:paraId="400EC74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barcha loyihalar boshlang’ich investitsiyalarning bir martalik sarflanishini ko’zda tutadi;</w:t>
      </w:r>
    </w:p>
    <w:p w14:paraId="6B3D547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mablag’ sarflanib bo’lingandan so’ng barcha investorlar loyiha hayot davrining oxirigacha bir xil pul tushumlariga ega bo’ladilar.</w:t>
      </w:r>
    </w:p>
    <w:p w14:paraId="3F5C2F7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ko’rsatkich hisoblab topish osonligi, tushunish uchun soddaligi bilan birga loyihaning tavakkal xavfi darajasi haqida ma’lumot berishi tufayli ham qadrlidir.</w:t>
      </w:r>
    </w:p>
    <w:p w14:paraId="37F8842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Investitsiyalarning qoplanish muddati qanchalik katta bo’lsa, dastlabki hisoblangan natijalarga salbiy ta’sir ko’rsatuvchi shart-sharoitlarning yuzaga kelishi xavfi shuncha yuqori bo’ladi.</w:t>
      </w:r>
    </w:p>
    <w:p w14:paraId="1A5C0CF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Shu bilan birga bu ko’rsatkich jiddiy kamchiliklarga ham ega. Ya’ni u ikki muhim holatni inkor qiladi:</w:t>
      </w:r>
    </w:p>
    <w:p w14:paraId="0C02AAC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turli muddatlarda pulning qiymati turlicha bo’lishini;</w:t>
      </w:r>
    </w:p>
    <w:p w14:paraId="4FB4A06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qoplanish muddati tugagandan so’ng ham pul tushumlarining davom etishini.</w:t>
      </w:r>
    </w:p>
    <w:p w14:paraId="6BF51E0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Shu sababli ham RR ko’rsatkichini investitsiyalar samaradorligini baholashda asosiy usul sifatida qo’llab bo’lmaydi. Shuni ta’kidlash joizki investitsiyalarning qoplanish muddatini hisoblashdagi ko’rsatilgan birinchi kamchilikni tuzatish mumkin. Bu uchun pul oqimlari diskontlab olinadi, xolos.</w:t>
      </w:r>
    </w:p>
    <w:p w14:paraId="338D006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b/>
          <w:color w:val="000000"/>
          <w:sz w:val="28"/>
          <w:szCs w:val="28"/>
          <w:lang w:val="en-US"/>
        </w:rPr>
        <w:t>Investitsiyalarning buxgalteriya rentabelligi ROI</w:t>
      </w:r>
      <w:r>
        <w:rPr>
          <w:rFonts w:ascii="Times New Roman" w:hAnsi="Times New Roman" w:eastAsia="LiberationSerif-Bold" w:cs="Times New Roman"/>
          <w:color w:val="000000"/>
          <w:sz w:val="28"/>
          <w:szCs w:val="28"/>
          <w:lang w:val="en-US"/>
        </w:rPr>
        <w:t xml:space="preserve"> (ingl.</w:t>
      </w:r>
      <w:r>
        <w:rPr>
          <w:rFonts w:ascii="Times New Roman" w:hAnsi="Times New Roman" w:cs="Times New Roman"/>
          <w:sz w:val="28"/>
          <w:szCs w:val="28"/>
          <w:lang w:val="en-US"/>
        </w:rPr>
        <w:t xml:space="preserve"> return on investment</w:t>
      </w:r>
      <w:r>
        <w:rPr>
          <w:rFonts w:ascii="Times New Roman" w:hAnsi="Times New Roman" w:eastAsia="LiberationSerif-Bold" w:cs="Times New Roman"/>
          <w:color w:val="000000"/>
          <w:sz w:val="28"/>
          <w:szCs w:val="28"/>
          <w:lang w:val="en-US"/>
        </w:rPr>
        <w:t xml:space="preserve">) ko’rsatkichi loyihalarini baholashning ikkinchi sodda (statik) ko’rsatkichi bo’lib, adabiyotlarda investitsiyaga o’rtacha foyda me’yori </w:t>
      </w:r>
      <w:r>
        <w:rPr>
          <w:rFonts w:ascii="Times New Roman" w:hAnsi="Times New Roman" w:cs="Times New Roman"/>
          <w:sz w:val="28"/>
          <w:szCs w:val="28"/>
          <w:lang w:val="en-US"/>
        </w:rPr>
        <w:t xml:space="preserve">(IRR – </w:t>
      </w:r>
      <w:r>
        <w:rPr>
          <w:rFonts w:ascii="Times New Roman" w:hAnsi="Times New Roman" w:cs="Times New Roman"/>
          <w:sz w:val="28"/>
          <w:szCs w:val="28"/>
          <w:lang w:val="uz-Cyrl-UZ"/>
        </w:rPr>
        <w:t>ingl</w:t>
      </w:r>
      <w:r>
        <w:rPr>
          <w:rFonts w:ascii="Times New Roman" w:hAnsi="Times New Roman" w:cs="Times New Roman"/>
          <w:sz w:val="28"/>
          <w:szCs w:val="28"/>
          <w:lang w:val="en-US"/>
        </w:rPr>
        <w:t xml:space="preserve">. average rate of return), </w:t>
      </w:r>
      <w:r>
        <w:rPr>
          <w:rFonts w:ascii="Times New Roman" w:hAnsi="Times New Roman" w:eastAsia="LiberationSerif-Bold" w:cs="Times New Roman"/>
          <w:color w:val="000000"/>
          <w:sz w:val="28"/>
          <w:szCs w:val="28"/>
          <w:lang w:val="en-US"/>
        </w:rPr>
        <w:t xml:space="preserve">hisoblangan foyda me’yori </w:t>
      </w:r>
      <w:r>
        <w:rPr>
          <w:rFonts w:ascii="Times New Roman" w:hAnsi="Times New Roman" w:cs="Times New Roman"/>
          <w:sz w:val="28"/>
          <w:szCs w:val="28"/>
          <w:lang w:val="en-US"/>
        </w:rPr>
        <w:t xml:space="preserve">(IRR – </w:t>
      </w:r>
      <w:r>
        <w:rPr>
          <w:rFonts w:ascii="Times New Roman" w:hAnsi="Times New Roman" w:cs="Times New Roman"/>
          <w:sz w:val="28"/>
          <w:szCs w:val="28"/>
          <w:lang w:val="uz-Cyrl-UZ"/>
        </w:rPr>
        <w:t>ingl</w:t>
      </w:r>
      <w:r>
        <w:rPr>
          <w:rFonts w:ascii="Times New Roman" w:hAnsi="Times New Roman" w:cs="Times New Roman"/>
          <w:sz w:val="28"/>
          <w:szCs w:val="28"/>
          <w:lang w:val="en-US"/>
        </w:rPr>
        <w:t>. accounting rate of return)</w:t>
      </w:r>
      <w:r>
        <w:rPr>
          <w:rFonts w:ascii="Times New Roman" w:hAnsi="Times New Roman" w:eastAsia="LiberationSerif-Bold" w:cs="Times New Roman"/>
          <w:color w:val="000000"/>
          <w:sz w:val="28"/>
          <w:szCs w:val="28"/>
          <w:lang w:val="en-US"/>
        </w:rPr>
        <w:t>, deb ham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yuritiladi. Bu ko’rsatkich vositasida investitsiyalarga pul tushumlari asosida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mas,</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balki buxgalteriya ko’rsatkichi bo’lgan firma daromadi miqdoriga asoslanib, baho</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beriladi.</w:t>
      </w:r>
    </w:p>
    <w:p w14:paraId="528E1B8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Ko’rsatkichning nomidan xulosa qilish mumkinki, u buxgalteriya hisoboti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bo’yicha firma daromadi o’rtacha miqdorini investitsiyalarning o’rtacha miqdoriga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nisbatini ifodalaydi.</w:t>
      </w:r>
    </w:p>
    <w:p w14:paraId="7737C80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ko’rsatkich quyidagi formula yordamida aniqlanadi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(20-formula):</w:t>
      </w:r>
    </w:p>
    <w:p w14:paraId="67A6723C">
      <w:pPr>
        <w:autoSpaceDE w:val="0"/>
        <w:autoSpaceDN w:val="0"/>
        <w:adjustRightInd w:val="0"/>
        <w:spacing w:after="0" w:line="240" w:lineRule="auto"/>
        <w:jc w:val="center"/>
        <w:rPr>
          <w:rFonts w:ascii="Times New Roman" w:hAnsi="Times New Roman" w:eastAsia="LiberationSerif-Bold" w:cs="Times New Roman"/>
          <w:color w:val="000000"/>
          <w:sz w:val="28"/>
          <w:szCs w:val="28"/>
          <w:lang w:val="uz-Cyrl-UZ"/>
        </w:rPr>
      </w:pPr>
      <w:r>
        <w:rPr>
          <w:rFonts w:ascii="Times New Roman" w:hAnsi="Times New Roman" w:cs="Times New Roman"/>
          <w:sz w:val="28"/>
          <w:szCs w:val="28"/>
          <w:lang w:val="en-US"/>
        </w:rPr>
        <w:t>ROI q EBIT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(1- T) G’ [ (C.</w:t>
      </w:r>
      <w:r>
        <w:rPr>
          <w:rFonts w:ascii="Times New Roman" w:hAnsi="Times New Roman" w:cs="Times New Roman"/>
          <w:sz w:val="28"/>
          <w:szCs w:val="28"/>
          <w:lang w:val="uz-Cyrl-UZ"/>
        </w:rPr>
        <w:t>y.b</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w:t>
      </w:r>
      <w:r>
        <w:rPr>
          <w:rFonts w:ascii="Times New Roman" w:hAnsi="Times New Roman" w:cs="Times New Roman"/>
          <w:sz w:val="28"/>
          <w:szCs w:val="28"/>
          <w:lang w:val="uz-Cyrl-UZ"/>
        </w:rPr>
        <w:t>y</w:t>
      </w:r>
      <w:r>
        <w:rPr>
          <w:rFonts w:ascii="Times New Roman" w:hAnsi="Times New Roman" w:cs="Times New Roman"/>
          <w:sz w:val="28"/>
          <w:szCs w:val="28"/>
          <w:lang w:val="en-US"/>
        </w:rPr>
        <w:t>.o):2]</w:t>
      </w:r>
    </w:p>
    <w:p w14:paraId="65C288A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xml:space="preserve">Bu erda: </w:t>
      </w:r>
      <w:r>
        <w:rPr>
          <w:rFonts w:ascii="Times New Roman" w:hAnsi="Times New Roman" w:cs="Times New Roman"/>
          <w:sz w:val="28"/>
          <w:szCs w:val="28"/>
          <w:lang w:val="uz-Cyrl-UZ"/>
        </w:rPr>
        <w:t>EBIT</w:t>
      </w:r>
      <w:r>
        <w:rPr>
          <w:rFonts w:ascii="Times New Roman" w:hAnsi="Times New Roman" w:eastAsia="LiberationSerif-Bold" w:cs="Times New Roman"/>
          <w:color w:val="000000"/>
          <w:sz w:val="28"/>
          <w:szCs w:val="28"/>
          <w:lang w:val="uz-Cyrl-UZ"/>
        </w:rPr>
        <w:t xml:space="preserve"> (ingl. </w:t>
      </w:r>
      <w:r>
        <w:rPr>
          <w:rFonts w:ascii="Times New Roman" w:hAnsi="Times New Roman" w:cs="Times New Roman"/>
          <w:sz w:val="28"/>
          <w:szCs w:val="28"/>
          <w:lang w:val="uz-Cyrl-UZ"/>
        </w:rPr>
        <w:t>earnings before interest and tax</w:t>
      </w:r>
      <w:r>
        <w:rPr>
          <w:rFonts w:ascii="Times New Roman" w:hAnsi="Times New Roman" w:eastAsia="LiberationSerif-Bold" w:cs="Times New Roman"/>
          <w:color w:val="000000"/>
          <w:sz w:val="28"/>
          <w:szCs w:val="28"/>
          <w:lang w:val="uz-Cyrl-UZ"/>
        </w:rPr>
        <w:t>) - firmaning foiz va soliqlar to’lovlarini amalga oshirgunga qadar (yoki soliq to’lovlaridan keyingi, lekin foiz to’lovlarigacha) bo’lgan foydasi miqdori;</w:t>
      </w:r>
    </w:p>
    <w:p w14:paraId="4734AD3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T - soliq stavkasi (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ffitsientda beriladi);</w:t>
      </w:r>
    </w:p>
    <w:p w14:paraId="3558FA7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C.y.b., C.y.o. - aktivlarning yil boshidagi va yil oxiridagi qiymati. Bu ikala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miqdor o’rtasidagi farq investitsiya xarajatlari hajmini ko’rsatadi.</w:t>
      </w:r>
    </w:p>
    <w:p w14:paraId="7313D40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cs="Times New Roman"/>
          <w:sz w:val="28"/>
          <w:szCs w:val="28"/>
          <w:lang w:val="en-US"/>
        </w:rPr>
        <w:t>ROI</w:t>
      </w:r>
      <w:r>
        <w:rPr>
          <w:rFonts w:ascii="Times New Roman" w:hAnsi="Times New Roman" w:eastAsia="LiberationSerif-Bold" w:cs="Times New Roman"/>
          <w:color w:val="000000"/>
          <w:sz w:val="28"/>
          <w:szCs w:val="28"/>
          <w:lang w:val="en-US"/>
        </w:rPr>
        <w:t xml:space="preserve"> ko’rsatkichining qo’llanishi uning hisoblangan darajasini tashkilot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standart bo’lgan rentabellilik darajalari bilan solishtirishga asoslangan. Agar bu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 tashkilot tomonidan standart deb qabul qilingan ko’rsatkichdan kata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bo’lsa, loyiha ma’qul deb hisoblanadi. Bu ko’rsatkich hozirgacha dunyoning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ko’pchilik mamlakatlarida keng qo’llanib kelinishiga quyidagilar sabab:</w:t>
      </w:r>
    </w:p>
    <w:p w14:paraId="1383337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Birichidan, uni hisoblash oson va diskontlash kabi murakkab hisob-kitoblarni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talab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tmaydi.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 xml:space="preserve">u bilan birga ayrim shart-sharoitlar mavjud bo’lsa, hisoblangan </w:t>
      </w:r>
      <w:r>
        <w:rPr>
          <w:rFonts w:ascii="Times New Roman" w:hAnsi="Times New Roman" w:cs="Times New Roman"/>
          <w:sz w:val="28"/>
          <w:szCs w:val="28"/>
          <w:lang w:val="en-US"/>
        </w:rPr>
        <w:t>ROI</w:t>
      </w:r>
      <w:r>
        <w:rPr>
          <w:rFonts w:ascii="Times New Roman" w:hAnsi="Times New Roman" w:cs="Times New Roman"/>
          <w:sz w:val="28"/>
          <w:szCs w:val="28"/>
          <w:lang w:val="uz-Cyrl-UZ"/>
        </w:rPr>
        <w:t xml:space="preserve"> </w:t>
      </w:r>
      <w:r>
        <w:rPr>
          <w:rFonts w:ascii="Times New Roman" w:hAnsi="Times New Roman" w:eastAsia="LiberationSerif-Bold" w:cs="Times New Roman"/>
          <w:color w:val="000000"/>
          <w:sz w:val="28"/>
          <w:szCs w:val="28"/>
          <w:lang w:val="en-US"/>
        </w:rPr>
        <w:t>miqdori IRR miqdoriga juda yaqin bo’ladi. Bu shart-sharoitlar quyidagilardir:</w:t>
      </w:r>
    </w:p>
    <w:p w14:paraId="4FF0BDA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agar investitsiyalar perpetuitet ko’rinishida yillik pul tushumlarining teng miqdordagi summalari sifatida amalga oshirilsa;</w:t>
      </w:r>
    </w:p>
    <w:p w14:paraId="02EA6EC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to’plangan amortizatsiya qo’shimcha mablag’larsiz eskirgan uskunalarni yangilash uchun etarli bo’lsa;</w:t>
      </w:r>
    </w:p>
    <w:p w14:paraId="6F460B6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investitsiyalarni amalga oshirish davrida aylanma kapital miqdorida o’zgarish ro’y bermasa.</w:t>
      </w:r>
    </w:p>
    <w:p w14:paraId="2234AB7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 baholashning statik usullari loyiha bo’yicha qo’shimcha ma’lumotlar olish imkonini berishi bilan qadrlidir.</w:t>
      </w:r>
    </w:p>
    <w:p w14:paraId="2DB0602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Ikkinchidan, aktsiyadorlik kompaniyalarida bu ko’rsatkich menejerlarni investitsiyalashning aktsiyadorlarni eng ko’p qiziqtiradigan buxgalteriya rentabelligi ko’rsatkichi bilan bog’liq bo’lgan variantlariga yo’naltiradi.</w:t>
      </w:r>
    </w:p>
    <w:p w14:paraId="4C7D00D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cs="Times New Roman"/>
          <w:sz w:val="28"/>
          <w:szCs w:val="28"/>
          <w:lang w:val="en-US"/>
        </w:rPr>
        <w:t>ROI</w:t>
      </w:r>
      <w:r>
        <w:rPr>
          <w:rFonts w:ascii="Times New Roman" w:hAnsi="Times New Roman" w:eastAsia="LiberationSerif-Bold" w:cs="Times New Roman"/>
          <w:color w:val="000000"/>
          <w:sz w:val="28"/>
          <w:szCs w:val="28"/>
          <w:lang w:val="en-US"/>
        </w:rPr>
        <w:t xml:space="preserve"> ko’rsatkichi kamchiliklari uning afzalliklari aksini tashkil etadi. Ya’ni bu ko’rsatkich vositasida investitsiya loyihalari taqqoslanganda:</w:t>
      </w:r>
    </w:p>
    <w:p w14:paraId="76408F8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pulning turli vaqtlarda qiymati bir xil bo’lmasligi e’tiborga olinmaydi;</w:t>
      </w:r>
    </w:p>
    <w:p w14:paraId="02B04CC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loyihalar turlicha muddat xizmat qilishi inkor qilinadi, ya’ni bir xil rentabellikka ega ikki loyihadan biri 5 yil, ikkinchisi 10 yil daromad olishini ta’minlashi bu ko’rsatkichda aks etmaydi.</w:t>
      </w:r>
    </w:p>
    <w:p w14:paraId="31DC660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Shuningdek, investitsiyalarning buxgalteriya rentabelliligi firma boyligining real o’zgarishini xarakterlamasdan, aktsiyadorlar va «chetdagi» boshqa shaxslarning talablariga mos natija olishga qaratilgan.</w:t>
      </w:r>
    </w:p>
    <w:p w14:paraId="2DD295A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Ko’rib chiqilgan investitsiya loyihalarini baholashning barcha usullarini birgalikda qo’llashgina loyihalarning samarali yoki samarasiz ekanligi to’g’risida aniq xulosa olish imkonin beradi.</w:t>
      </w:r>
    </w:p>
    <w:p w14:paraId="612EB4A8">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en-US"/>
        </w:rPr>
      </w:pPr>
    </w:p>
    <w:p w14:paraId="0830F5AE">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Qisqacha xulosalar</w:t>
      </w:r>
    </w:p>
    <w:p w14:paraId="0AAB9C6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p>
    <w:p w14:paraId="36697DE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Pul oqimlarining </w:t>
      </w:r>
      <w:r>
        <w:rPr>
          <w:rFonts w:ascii="Times New Roman" w:hAnsi="Times New Roman" w:eastAsia="LiberationSerif-Bold" w:cs="Times New Roman"/>
          <w:color w:val="000000"/>
          <w:sz w:val="28"/>
          <w:szCs w:val="28"/>
          <w:lang w:val="uz-Cyrl-UZ"/>
        </w:rPr>
        <w:t>h</w:t>
      </w:r>
      <w:r>
        <w:rPr>
          <w:rFonts w:ascii="Times New Roman" w:hAnsi="Times New Roman" w:eastAsia="LiberationSerif-Bold" w:cs="Times New Roman"/>
          <w:color w:val="000000"/>
          <w:sz w:val="28"/>
          <w:szCs w:val="28"/>
          <w:lang w:val="en-US"/>
        </w:rPr>
        <w:t xml:space="preserve">ozirga davrdagi bir birlik oqimi kelgusidagi </w:t>
      </w:r>
      <w:r>
        <w:rPr>
          <w:rFonts w:ascii="Times New Roman" w:hAnsi="Times New Roman" w:eastAsia="LiberationSerif-Bold" w:cs="Times New Roman"/>
          <w:color w:val="000000"/>
          <w:sz w:val="28"/>
          <w:szCs w:val="28"/>
          <w:lang w:val="uz-Cyrl-UZ"/>
        </w:rPr>
        <w:t>h</w:t>
      </w:r>
      <w:r>
        <w:rPr>
          <w:rFonts w:ascii="Times New Roman" w:hAnsi="Times New Roman" w:eastAsia="LiberationSerif-Bold" w:cs="Times New Roman"/>
          <w:color w:val="000000"/>
          <w:sz w:val="28"/>
          <w:szCs w:val="28"/>
          <w:lang w:val="en-US"/>
        </w:rPr>
        <w:t>ar qanday bir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birlik oqimidan qiymati kattadir.</w:t>
      </w:r>
    </w:p>
    <w:p w14:paraId="787B68F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Investihiya loyihalari samaradorligini baholash uslublari deganda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xarajatlarning foydaliligi va qoplanishi nuqtai nazaridan turli ob’ektlarga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(loyihalarga, tadbirlarga) investitsiya qilishning maqsadga muvofiqligini aniqlash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usullari tushuniladi.</w:t>
      </w:r>
    </w:p>
    <w:p w14:paraId="12E4464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Investitsiyalar samaradorligini aniqlashda, ularning ayrim jihatlarinigina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xarakterlaydigan alohida ko’rsatkichlardan foydalanish etarli bo’lmaydi.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 sababli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 loyihalari samaradorligini baholash uchun bir necha uslublar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ko’rsatkichlar tizimidan foydalaniladi. Investitsiyalar samaradorligini baholashning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diskontlashga asoslangan uslublariga sof keltirilgan qiymat, investitsiyalar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rentabelligi va ichki foyda me’yorini hisoblash uslublari kiradi. Sof joriy qiymat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ko’rsatkichi loyiha amalga oshirilishi natijasida firma boyligi qanchaga ko’payganini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xarakterlaydi.</w:t>
      </w:r>
    </w:p>
    <w:p w14:paraId="2D813F0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 rentabelligi qilingan har bir so’m investitsiyaga qanday darajada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foyda olinganligi yoki investor boyligi qanchaga ko’payganini ifodalaydigan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ko’rsatkichdir</w:t>
      </w:r>
      <w:r>
        <w:rPr>
          <w:rFonts w:ascii="Times New Roman" w:hAnsi="Times New Roman" w:eastAsia="LiberationSerif-Bold" w:cs="Times New Roman"/>
          <w:color w:val="000000"/>
          <w:sz w:val="28"/>
          <w:szCs w:val="28"/>
          <w:lang w:val="uz-Cyrl-UZ"/>
        </w:rPr>
        <w:t>.</w:t>
      </w:r>
      <w:r>
        <w:rPr>
          <w:rFonts w:ascii="Times New Roman" w:hAnsi="Times New Roman" w:eastAsia="LiberationSerif-Bold" w:cs="Times New Roman"/>
          <w:color w:val="000000"/>
          <w:sz w:val="28"/>
          <w:szCs w:val="28"/>
          <w:lang w:val="en-US"/>
        </w:rPr>
        <w:t xml:space="preserve"> IRR loyiha bo’yicha investitsiyalardan olingan sof tushumlarning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diskontlangan qiymatini investitsiyalarning diskontlangan qiymatiga teng bo’lishini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ta’minlovchi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ffitsientdir. IRR - diskont ko</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ffitsientining shunday miqdoriki,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bunda NPV 0 ga teng bo’ladi.</w:t>
      </w:r>
    </w:p>
    <w:p w14:paraId="703D64A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 investitsiyalarini baholashning sodda (statik) uslublariga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investitsiyalarning qoplanish davri va buxgalteriya rentabelligini hisoblash uslublari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kiradi. Loyihalarni baholashning statik uslublari loyiha bo’yicha qo’shimcha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ma’lumotlar olish imkonini beradi. Investitsiya loyihalarini moliyaviy-iqtisodiy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baholashning barcha uslublari o’ziga xos afzalliklar hamda kamchiliklarga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ga.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tufayli ularni birgallikda qo’llabgina investitsiya loyihalarini kompleks baholashimiz</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mumkin.</w:t>
      </w:r>
    </w:p>
    <w:p w14:paraId="64088352">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1EFE397C">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Nazorat va muhokama uchun savollar</w:t>
      </w:r>
    </w:p>
    <w:p w14:paraId="52F0381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4329874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1. Sof joriy qiymat «uzoq muddatli xarajatlar va uzoq muddatli pul tushumlari» holatida qanday aniqlanadi?</w:t>
      </w:r>
    </w:p>
    <w:p w14:paraId="5DDF010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2. Investitsiyalarning rentabelliligi ko’rsatkichi bo’yicha loyihalarning maqbulligi qanday mezonlarga ko’ra aniqlanadi?</w:t>
      </w:r>
    </w:p>
    <w:p w14:paraId="41E8B1F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Ichki foyda me’yori ko’rsatkichining mohiyati nimada?</w:t>
      </w:r>
    </w:p>
    <w:p w14:paraId="0BD9FB1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 Diskontlashga asoslangan uslublar bo’yicha investitsiyalar samaradorligini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aniqlash mezonlarini sanab o’ting.</w:t>
      </w:r>
    </w:p>
    <w:p w14:paraId="18C3E70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 Buxgalteriya rentabelliligi ko’rsatkichi investitsiyalar rentabelliligi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ko’rsatkichidan nima bilan farq qiladi?</w:t>
      </w:r>
    </w:p>
    <w:p w14:paraId="0E347C5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6. Investitsiyalarni baholashning statik uslublari kamchiligi va afzalliklari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nimada?</w:t>
      </w:r>
    </w:p>
    <w:p w14:paraId="1D89534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7.</w:t>
      </w:r>
      <w:r>
        <w:rPr>
          <w:rFonts w:ascii="Times New Roman" w:hAnsi="Times New Roman" w:eastAsia="LiberationSerif-Bold" w:cs="Times New Roman"/>
          <w:color w:val="000000"/>
          <w:sz w:val="20"/>
          <w:szCs w:val="20"/>
          <w:lang w:val="en-US"/>
        </w:rPr>
        <w:t xml:space="preserve">   </w:t>
      </w:r>
      <w:r>
        <w:rPr>
          <w:rFonts w:ascii="Times New Roman" w:hAnsi="Times New Roman" w:eastAsia="LiberationSerif-Bold" w:cs="Times New Roman"/>
          <w:color w:val="000000"/>
          <w:sz w:val="20"/>
          <w:szCs w:val="20"/>
          <w:lang w:val="uz-Cyrl-UZ"/>
        </w:rPr>
        <w:t xml:space="preserve"> </w:t>
      </w: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n</w:t>
      </w:r>
      <w:r>
        <w:rPr>
          <w:rFonts w:ascii="Times New Roman" w:hAnsi="Times New Roman" w:eastAsia="LiberationSerif-Bold" w:cs="Times New Roman"/>
          <w:color w:val="000000"/>
          <w:sz w:val="28"/>
          <w:szCs w:val="28"/>
          <w:lang w:val="en-US"/>
        </w:rPr>
        <w:t xml:space="preserve">         I</w:t>
      </w:r>
      <w:r>
        <w:rPr>
          <w:rFonts w:ascii="Times New Roman" w:hAnsi="Times New Roman" w:eastAsia="LiberationSerif-Bold" w:cs="Times New Roman"/>
          <w:color w:val="000000"/>
          <w:sz w:val="28"/>
          <w:szCs w:val="28"/>
          <w:vertAlign w:val="subscript"/>
          <w:lang w:val="en-US"/>
        </w:rPr>
        <w:t>t</w:t>
      </w:r>
    </w:p>
    <w:p w14:paraId="46A13AD6">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NPV q ∑ ----------------  -  ∑ -------------</w:t>
      </w:r>
      <w:r>
        <w:rPr>
          <w:rFonts w:ascii="Times New Roman" w:hAnsi="Times New Roman" w:eastAsia="LiberationSerif-Bold" w:cs="Times New Roman"/>
          <w:color w:val="000000"/>
          <w:sz w:val="28"/>
          <w:szCs w:val="28"/>
        </w:rPr>
        <w:t></w:t>
      </w:r>
    </w:p>
    <w:p w14:paraId="37F964F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r>
        <w:rPr>
          <w:rFonts w:ascii="Times New Roman" w:hAnsi="Times New Roman" w:eastAsia="LiberationSerif-Bold" w:cs="Times New Roman"/>
          <w:color w:val="000000"/>
          <w:sz w:val="28"/>
          <w:szCs w:val="28"/>
          <w:lang w:val="uz-Cyrl-UZ"/>
        </w:rPr>
        <w:t xml:space="preserve"> </w:t>
      </w:r>
    </w:p>
    <w:p w14:paraId="159DF2D4">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formula nimani anglatadi?</w:t>
      </w:r>
    </w:p>
    <w:p w14:paraId="21BEBA8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rPr>
        <w:pict>
          <v:shape id="_x0000_s1039" o:spid="_x0000_s1039" o:spt="32" type="#_x0000_t32" style="position:absolute;left:0pt;flip:x y;margin-left:176.15pt;margin-top:1.5pt;height:0.05pt;width:6.4pt;z-index:251672576;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38" o:spid="_x0000_s1038" o:spt="32" type="#_x0000_t32" style="position:absolute;left:0pt;margin-left:182.55pt;margin-top:1.5pt;height:52.1pt;width:0pt;z-index:251671552;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36" o:spid="_x0000_s1036" o:spt="32" type="#_x0000_t32" style="position:absolute;left:0pt;margin-left:98.15pt;margin-top:1.45pt;height:0.05pt;width:9pt;z-index:251669504;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35" o:spid="_x0000_s1035" o:spt="32" type="#_x0000_t32" style="position:absolute;left:0pt;flip:x;margin-left:98.15pt;margin-top:1.45pt;height:47.8pt;width:0.05pt;z-index:251668480;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8"/>
          <w:szCs w:val="28"/>
          <w:lang w:val="en-US"/>
        </w:rPr>
        <w:t xml:space="preserve">8. </w:t>
      </w: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p>
    <w:p w14:paraId="1C7B4BDF">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PI q   ∑ -------------  G’ I</w:t>
      </w:r>
      <w:r>
        <w:rPr>
          <w:rFonts w:ascii="Times New Roman" w:hAnsi="Times New Roman" w:eastAsia="LiberationSerif-Bold" w:cs="Times New Roman"/>
          <w:color w:val="000000"/>
          <w:sz w:val="28"/>
          <w:szCs w:val="28"/>
          <w:vertAlign w:val="subscript"/>
          <w:lang w:val="en-US"/>
        </w:rPr>
        <w:t>0</w:t>
      </w:r>
    </w:p>
    <w:p w14:paraId="1F13E2D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p>
    <w:p w14:paraId="4EE9EB9B">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rPr>
        <w:pict>
          <v:shape id="_x0000_s1040" o:spid="_x0000_s1040" o:spt="32" type="#_x0000_t32" style="position:absolute;left:0pt;flip:x;margin-left:176.15pt;margin-top:5.2pt;height:0pt;width:6.4pt;z-index:251673600;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0"/>
          <w:szCs w:val="20"/>
        </w:rPr>
        <w:pict>
          <v:shape id="_x0000_s1037" o:spid="_x0000_s1037" o:spt="32" type="#_x0000_t32" style="position:absolute;left:0pt;margin-left:98.1pt;margin-top:0.9pt;height:0pt;width:9.05pt;z-index:251670528;mso-width-relative:page;mso-height-relative:page;" o:connectortype="straight" filled="f" coordsize="21600,21600">
            <v:path arrowok="t"/>
            <v:fill on="f" focussize="0,0"/>
            <v:stroke/>
            <v:imagedata o:title=""/>
            <o:lock v:ext="edit"/>
          </v:shape>
        </w:pict>
      </w:r>
      <w:r>
        <w:rPr>
          <w:rFonts w:ascii="Times New Roman" w:hAnsi="Times New Roman" w:eastAsia="LiberationSerif-Bold" w:cs="Times New Roman"/>
          <w:color w:val="000000"/>
          <w:sz w:val="28"/>
          <w:szCs w:val="28"/>
          <w:lang w:val="en-US"/>
        </w:rPr>
        <w:t>bu formula nimani anglatadi?</w:t>
      </w:r>
    </w:p>
    <w:p w14:paraId="150EC95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9.</w:t>
      </w:r>
      <w:r>
        <w:rPr>
          <w:rFonts w:ascii="Times New Roman" w:hAnsi="Times New Roman" w:eastAsia="LiberationSerif-Bold" w:cs="Times New Roman"/>
          <w:color w:val="000000"/>
          <w:sz w:val="20"/>
          <w:szCs w:val="20"/>
          <w:lang w:val="en-US"/>
        </w:rPr>
        <w:t xml:space="preserve">        </w:t>
      </w:r>
      <w:r>
        <w:rPr>
          <w:rFonts w:ascii="Times New Roman" w:hAnsi="Times New Roman" w:eastAsia="LiberationSerif-Bold" w:cs="Times New Roman"/>
          <w:color w:val="000000"/>
          <w:sz w:val="20"/>
          <w:szCs w:val="20"/>
          <w:lang w:val="uz-Cyrl-UZ"/>
        </w:rPr>
        <w:t xml:space="preserve">     </w:t>
      </w: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r>
        <w:rPr>
          <w:rFonts w:ascii="Times New Roman" w:hAnsi="Times New Roman" w:eastAsia="LiberationSerif-Bold" w:cs="Times New Roman"/>
          <w:color w:val="000000"/>
          <w:sz w:val="28"/>
          <w:szCs w:val="28"/>
          <w:lang w:val="en-US"/>
        </w:rPr>
        <w:t xml:space="preserve">             </w:t>
      </w:r>
      <w:r>
        <w:rPr>
          <w:rFonts w:ascii="Times New Roman" w:hAnsi="Times New Roman" w:eastAsia="LiberationSerif-Bold" w:cs="Times New Roman"/>
          <w:color w:val="000000"/>
          <w:sz w:val="20"/>
          <w:szCs w:val="20"/>
          <w:lang w:val="en-US"/>
        </w:rPr>
        <w:t>n</w:t>
      </w:r>
      <w:r>
        <w:rPr>
          <w:rFonts w:ascii="Times New Roman" w:hAnsi="Times New Roman" w:eastAsia="LiberationSerif-Bold" w:cs="Times New Roman"/>
          <w:color w:val="000000"/>
          <w:sz w:val="28"/>
          <w:szCs w:val="28"/>
          <w:lang w:val="en-US"/>
        </w:rPr>
        <w:t xml:space="preserve">         I</w:t>
      </w:r>
      <w:r>
        <w:rPr>
          <w:rFonts w:ascii="Times New Roman" w:hAnsi="Times New Roman" w:eastAsia="LiberationSerif-Bold" w:cs="Times New Roman"/>
          <w:color w:val="000000"/>
          <w:sz w:val="28"/>
          <w:szCs w:val="28"/>
          <w:vertAlign w:val="subscript"/>
          <w:lang w:val="en-US"/>
        </w:rPr>
        <w:t>t</w:t>
      </w:r>
    </w:p>
    <w:p w14:paraId="20A234F0">
      <w:pPr>
        <w:autoSpaceDE w:val="0"/>
        <w:autoSpaceDN w:val="0"/>
        <w:adjustRightInd w:val="0"/>
        <w:spacing w:after="0" w:line="240" w:lineRule="auto"/>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xml:space="preserve">                    PI q ∑ -------------  G’  ∑ -------------</w:t>
      </w:r>
    </w:p>
    <w:p w14:paraId="0615496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0"/>
          <w:szCs w:val="20"/>
          <w:lang w:val="uz-Cyrl-UZ"/>
        </w:rPr>
        <w:t xml:space="preserve">                       tq1</w:t>
      </w:r>
      <w:r>
        <w:rPr>
          <w:rFonts w:ascii="Times New Roman" w:hAnsi="Times New Roman" w:eastAsia="LiberationSerif-Bold" w:cs="Times New Roman"/>
          <w:color w:val="000000"/>
          <w:sz w:val="28"/>
          <w:szCs w:val="28"/>
          <w:lang w:val="uz-Cyrl-UZ"/>
        </w:rPr>
        <w:t xml:space="preserve">    (1 Q k)</w:t>
      </w:r>
      <w:r>
        <w:rPr>
          <w:rFonts w:ascii="Times New Roman" w:hAnsi="Times New Roman" w:eastAsia="LiberationSerif-Bold" w:cs="Times New Roman"/>
          <w:color w:val="000000"/>
          <w:sz w:val="28"/>
          <w:szCs w:val="28"/>
          <w:vertAlign w:val="superscript"/>
          <w:lang w:val="uz-Cyrl-UZ"/>
        </w:rPr>
        <w:t>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0"/>
          <w:szCs w:val="20"/>
          <w:lang w:val="uz-Cyrl-UZ"/>
        </w:rPr>
        <w:t>tq1</w:t>
      </w:r>
      <w:r>
        <w:rPr>
          <w:rFonts w:ascii="Times New Roman" w:hAnsi="Times New Roman" w:eastAsia="LiberationSerif-Bold" w:cs="Times New Roman"/>
          <w:color w:val="000000"/>
          <w:sz w:val="28"/>
          <w:szCs w:val="28"/>
          <w:lang w:val="uz-Cyrl-UZ"/>
        </w:rPr>
        <w:t xml:space="preserve">    (1Qk)</w:t>
      </w:r>
      <w:r>
        <w:rPr>
          <w:rFonts w:ascii="Times New Roman" w:hAnsi="Times New Roman" w:eastAsia="LiberationSerif-Bold" w:cs="Times New Roman"/>
          <w:color w:val="000000"/>
          <w:sz w:val="28"/>
          <w:szCs w:val="28"/>
          <w:vertAlign w:val="superscript"/>
          <w:lang w:val="uz-Cyrl-UZ"/>
        </w:rPr>
        <w:t>t</w:t>
      </w:r>
    </w:p>
    <w:p w14:paraId="665906A2">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formula nimani anglatadi?</w:t>
      </w:r>
    </w:p>
    <w:p w14:paraId="7AA2731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10.</w:t>
      </w:r>
      <w:r>
        <w:rPr>
          <w:rFonts w:ascii="Times New Roman" w:hAnsi="Times New Roman" w:eastAsia="LiberationSerif-Bold" w:cs="Times New Roman"/>
          <w:color w:val="000000"/>
          <w:sz w:val="20"/>
          <w:szCs w:val="20"/>
          <w:lang w:val="en-US"/>
        </w:rPr>
        <w:t xml:space="preserve">      </w:t>
      </w:r>
      <w:r>
        <w:rPr>
          <w:rFonts w:ascii="Times New Roman" w:hAnsi="Times New Roman" w:eastAsia="LiberationSerif-Bold" w:cs="Times New Roman"/>
          <w:color w:val="000000"/>
          <w:sz w:val="20"/>
          <w:szCs w:val="20"/>
          <w:lang w:val="uz-Cyrl-UZ"/>
        </w:rPr>
        <w:t xml:space="preserve"> </w:t>
      </w:r>
      <w:r>
        <w:rPr>
          <w:rFonts w:ascii="Times New Roman" w:hAnsi="Times New Roman" w:eastAsia="LiberationSerif-Bold" w:cs="Times New Roman"/>
          <w:color w:val="000000"/>
          <w:sz w:val="20"/>
          <w:szCs w:val="20"/>
          <w:lang w:val="en-US"/>
        </w:rPr>
        <w:t xml:space="preserve">           n</w:t>
      </w:r>
      <w:r>
        <w:rPr>
          <w:rFonts w:ascii="Times New Roman" w:hAnsi="Times New Roman" w:eastAsia="LiberationSerif-Bold" w:cs="Times New Roman"/>
          <w:color w:val="000000"/>
          <w:sz w:val="28"/>
          <w:szCs w:val="28"/>
          <w:lang w:val="en-US"/>
        </w:rPr>
        <w:t xml:space="preserve">       CF</w:t>
      </w:r>
      <w:r>
        <w:rPr>
          <w:rFonts w:ascii="Times New Roman" w:hAnsi="Times New Roman" w:eastAsia="LiberationSerif-Bold" w:cs="Times New Roman"/>
          <w:color w:val="000000"/>
          <w:sz w:val="28"/>
          <w:szCs w:val="28"/>
          <w:vertAlign w:val="subscript"/>
          <w:lang w:val="en-US"/>
        </w:rPr>
        <w:t>t</w:t>
      </w:r>
    </w:p>
    <w:p w14:paraId="3344EA27">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0 q ∑ -------------</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 - I</w:t>
      </w:r>
      <w:r>
        <w:rPr>
          <w:rFonts w:ascii="Times New Roman" w:hAnsi="Times New Roman" w:eastAsia="LiberationSerif-Bold" w:cs="Times New Roman"/>
          <w:color w:val="000000"/>
          <w:sz w:val="28"/>
          <w:szCs w:val="28"/>
          <w:vertAlign w:val="subscript"/>
          <w:lang w:val="en-US"/>
        </w:rPr>
        <w:t>0</w:t>
      </w:r>
    </w:p>
    <w:p w14:paraId="413652A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0"/>
          <w:szCs w:val="20"/>
          <w:lang w:val="en-US"/>
        </w:rPr>
        <w:t xml:space="preserve">                        tq1</w:t>
      </w:r>
      <w:r>
        <w:rPr>
          <w:rFonts w:ascii="Times New Roman" w:hAnsi="Times New Roman" w:eastAsia="LiberationSerif-Bold" w:cs="Times New Roman"/>
          <w:color w:val="000000"/>
          <w:sz w:val="28"/>
          <w:szCs w:val="28"/>
          <w:lang w:val="en-US"/>
        </w:rPr>
        <w:t xml:space="preserve">    (1 Q k)</w:t>
      </w:r>
      <w:r>
        <w:rPr>
          <w:rFonts w:ascii="Times New Roman" w:hAnsi="Times New Roman" w:eastAsia="LiberationSerif-Bold" w:cs="Times New Roman"/>
          <w:color w:val="000000"/>
          <w:sz w:val="28"/>
          <w:szCs w:val="28"/>
          <w:vertAlign w:val="superscript"/>
          <w:lang w:val="en-US"/>
        </w:rPr>
        <w:t>t</w:t>
      </w:r>
    </w:p>
    <w:p w14:paraId="1C1D75C3">
      <w:pPr>
        <w:autoSpaceDE w:val="0"/>
        <w:autoSpaceDN w:val="0"/>
        <w:adjustRightInd w:val="0"/>
        <w:spacing w:after="0" w:line="240" w:lineRule="auto"/>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formula nimani anglatadi?</w:t>
      </w:r>
    </w:p>
    <w:p w14:paraId="219CC032">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314A7367">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Foydalanilgan adabiyotlar ro’yxati</w:t>
      </w:r>
    </w:p>
    <w:p w14:paraId="64905F9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1. A.E. Ishmuxamedov, M.S.Qosimov, Z.A. Djumaev, G.Ya.Muxamedjanova. Loyiha tahlili. </w:t>
      </w:r>
      <w:r>
        <w:rPr>
          <w:rFonts w:ascii="Times New Roman" w:hAnsi="Times New Roman" w:eastAsia="LiberationSerif-Bold" w:cs="Times New Roman"/>
          <w:color w:val="000000"/>
          <w:sz w:val="28"/>
          <w:szCs w:val="28"/>
          <w:lang w:val="en-US"/>
        </w:rPr>
        <w:t>T: TDIU. 20</w:t>
      </w:r>
      <w:r>
        <w:rPr>
          <w:rFonts w:ascii="Times New Roman" w:hAnsi="Times New Roman" w:eastAsia="LiberationSerif-Bold" w:cs="Times New Roman"/>
          <w:color w:val="000000"/>
          <w:sz w:val="28"/>
          <w:szCs w:val="28"/>
          <w:lang w:val="uz-Cyrl-UZ"/>
        </w:rPr>
        <w:t>17</w:t>
      </w:r>
      <w:r>
        <w:rPr>
          <w:rFonts w:ascii="Times New Roman" w:hAnsi="Times New Roman" w:eastAsia="LiberationSerif-Bold" w:cs="Times New Roman"/>
          <w:color w:val="000000"/>
          <w:sz w:val="28"/>
          <w:szCs w:val="28"/>
          <w:lang w:val="en-US"/>
        </w:rPr>
        <w:t>.-91-107 b.</w:t>
      </w:r>
    </w:p>
    <w:p w14:paraId="687F754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Igonina L.L. «Investitsii».Uchebnik. 2-e izdanie, M: Magistr 20</w:t>
      </w:r>
      <w:r>
        <w:rPr>
          <w:rFonts w:ascii="Times New Roman" w:hAnsi="Times New Roman" w:eastAsia="LiberationSerif-Bold" w:cs="Times New Roman"/>
          <w:color w:val="000000"/>
          <w:sz w:val="28"/>
          <w:szCs w:val="28"/>
          <w:lang w:val="uz-Cyrl-UZ"/>
        </w:rPr>
        <w:t>1</w:t>
      </w:r>
      <w:r>
        <w:rPr>
          <w:rFonts w:ascii="Times New Roman" w:hAnsi="Times New Roman" w:eastAsia="LiberationSerif-Bold" w:cs="Times New Roman"/>
          <w:color w:val="000000"/>
          <w:sz w:val="28"/>
          <w:szCs w:val="28"/>
          <w:lang w:val="en-US"/>
        </w:rPr>
        <w:t>8.-145-267</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str.</w:t>
      </w:r>
    </w:p>
    <w:p w14:paraId="66A7A73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Kolmo’kova T.S. «Investitsionno’y analiz»</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Uchebnoe posobie M: INFRA-M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-20</w:t>
      </w:r>
      <w:r>
        <w:rPr>
          <w:rFonts w:ascii="Times New Roman" w:hAnsi="Times New Roman" w:eastAsia="LiberationSerif-Bold" w:cs="Times New Roman"/>
          <w:color w:val="000000"/>
          <w:sz w:val="28"/>
          <w:szCs w:val="28"/>
          <w:lang w:val="uz-Cyrl-UZ"/>
        </w:rPr>
        <w:t>18</w:t>
      </w:r>
      <w:r>
        <w:rPr>
          <w:rFonts w:ascii="Times New Roman" w:hAnsi="Times New Roman" w:eastAsia="LiberationSerif-Bold" w:cs="Times New Roman"/>
          <w:color w:val="000000"/>
          <w:sz w:val="28"/>
          <w:szCs w:val="28"/>
          <w:lang w:val="en-US"/>
        </w:rPr>
        <w:t>.-178-230 str. Uchebniki ekonomicheskogo fakulteta MGU im.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Lomonosova.</w:t>
      </w:r>
    </w:p>
    <w:p w14:paraId="3378130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Esipov V.E. i dr. Kommercheskaya otsenka investitsiy. Uchebnoe posobie.</w:t>
      </w:r>
      <w:r>
        <w:rPr>
          <w:rFonts w:ascii="Times New Roman" w:hAnsi="Times New Roman" w:eastAsia="LiberationSerif-Bold" w:cs="Times New Roman"/>
          <w:color w:val="000000"/>
          <w:sz w:val="28"/>
          <w:szCs w:val="28"/>
          <w:lang w:val="uz-Cyrl-UZ"/>
        </w:rPr>
        <w:t xml:space="preserve"> M.:</w:t>
      </w:r>
      <w:r>
        <w:rPr>
          <w:rFonts w:ascii="Times New Roman" w:hAnsi="Times New Roman" w:eastAsia="LiberationSerif-Bold" w:cs="Times New Roman"/>
          <w:color w:val="000000"/>
          <w:sz w:val="28"/>
          <w:szCs w:val="28"/>
          <w:lang w:val="en-US"/>
        </w:rPr>
        <w:t>KNORUS : 20</w:t>
      </w:r>
      <w:r>
        <w:rPr>
          <w:rFonts w:ascii="Times New Roman" w:hAnsi="Times New Roman" w:eastAsia="LiberationSerif-Bold" w:cs="Times New Roman"/>
          <w:color w:val="000000"/>
          <w:sz w:val="28"/>
          <w:szCs w:val="28"/>
          <w:lang w:val="uz-Cyrl-UZ"/>
        </w:rPr>
        <w:t>18</w:t>
      </w:r>
      <w:r>
        <w:rPr>
          <w:rFonts w:ascii="Times New Roman" w:hAnsi="Times New Roman" w:eastAsia="LiberationSerif-Bold" w:cs="Times New Roman"/>
          <w:color w:val="000000"/>
          <w:sz w:val="28"/>
          <w:szCs w:val="28"/>
          <w:lang w:val="en-US"/>
        </w:rPr>
        <w:t>. -145-450 str.</w:t>
      </w:r>
    </w:p>
    <w:p w14:paraId="0459B61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 xml:space="preserve">5. V.V. </w:t>
      </w:r>
      <w:r>
        <w:rPr>
          <w:rFonts w:ascii="Times New Roman" w:hAnsi="Times New Roman" w:cs="Times New Roman"/>
          <w:sz w:val="28"/>
          <w:szCs w:val="28"/>
          <w:lang w:val="en-US"/>
        </w:rPr>
        <w:t>Bocharev</w:t>
      </w:r>
      <w:r>
        <w:rPr>
          <w:rFonts w:ascii="Times New Roman" w:hAnsi="Times New Roman" w:cs="Times New Roman"/>
          <w:sz w:val="28"/>
          <w:szCs w:val="28"/>
          <w:lang w:val="uz-Cyrl-UZ"/>
        </w:rPr>
        <w:t>.</w:t>
      </w:r>
      <w:r>
        <w:rPr>
          <w:rFonts w:ascii="Times New Roman" w:hAnsi="Times New Roman" w:cs="Times New Roman"/>
          <w:sz w:val="28"/>
          <w:szCs w:val="28"/>
          <w:lang w:val="en-US"/>
        </w:rPr>
        <w:t xml:space="preserve"> Investitsii.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Uchebnik dlya VUZov. </w:t>
      </w:r>
      <w:r>
        <w:rPr>
          <w:rFonts w:ascii="Times New Roman" w:hAnsi="Times New Roman" w:cs="Times New Roman"/>
          <w:sz w:val="28"/>
          <w:szCs w:val="28"/>
        </w:rPr>
        <w:t>Piter 20</w:t>
      </w:r>
      <w:r>
        <w:rPr>
          <w:rFonts w:ascii="Times New Roman" w:hAnsi="Times New Roman" w:cs="Times New Roman"/>
          <w:sz w:val="28"/>
          <w:szCs w:val="28"/>
          <w:lang w:val="uz-Cyrl-UZ"/>
        </w:rPr>
        <w:t>18</w:t>
      </w:r>
      <w:r>
        <w:rPr>
          <w:rFonts w:ascii="Times New Roman" w:hAnsi="Times New Roman" w:cs="Times New Roman"/>
          <w:sz w:val="28"/>
          <w:szCs w:val="28"/>
        </w:rPr>
        <w:t>. -</w:t>
      </w:r>
      <w:r>
        <w:rPr>
          <w:rFonts w:ascii="Times New Roman" w:hAnsi="Times New Roman" w:eastAsia="LiberationSerif-Bold" w:cs="Times New Roman"/>
          <w:color w:val="000000"/>
          <w:sz w:val="28"/>
          <w:szCs w:val="28"/>
        </w:rPr>
        <w:t>156-238 str.</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2409E">
    <w:pPr>
      <w:pStyle w:val="4"/>
      <w:widowControl/>
    </w:pPr>
    <w:r>
      <w:rPr>
        <w:lang w:val="en-US"/>
      </w:rPr>
      <w:t>G.K.Turayeva-Investitsion loyihalar tahlili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EC1E5E"/>
    <w:multiLevelType w:val="multilevel"/>
    <w:tmpl w:val="03EC1E5E"/>
    <w:lvl w:ilvl="0" w:tentative="0">
      <w:start w:val="40"/>
      <w:numFmt w:val="bullet"/>
      <w:lvlText w:val=""/>
      <w:lvlJc w:val="left"/>
      <w:pPr>
        <w:ind w:left="1069" w:hanging="360"/>
      </w:pPr>
      <w:rPr>
        <w:rFonts w:hint="default" w:ascii="Symbol" w:hAnsi="Symbol" w:eastAsia="LiberationSerif-Bold" w:cs="Times New Roman"/>
      </w:rPr>
    </w:lvl>
    <w:lvl w:ilvl="1" w:tentative="0">
      <w:start w:val="1"/>
      <w:numFmt w:val="bullet"/>
      <w:lvlText w:val="o"/>
      <w:lvlJc w:val="left"/>
      <w:pPr>
        <w:ind w:left="1789" w:hanging="360"/>
      </w:pPr>
      <w:rPr>
        <w:rFonts w:hint="default" w:ascii="Courier New" w:hAnsi="Courier New" w:cs="Courier New"/>
      </w:rPr>
    </w:lvl>
    <w:lvl w:ilvl="2" w:tentative="0">
      <w:start w:val="1"/>
      <w:numFmt w:val="bullet"/>
      <w:lvlText w:val=""/>
      <w:lvlJc w:val="left"/>
      <w:pPr>
        <w:ind w:left="2509" w:hanging="360"/>
      </w:pPr>
      <w:rPr>
        <w:rFonts w:hint="default" w:ascii="Wingdings" w:hAnsi="Wingdings"/>
      </w:rPr>
    </w:lvl>
    <w:lvl w:ilvl="3" w:tentative="0">
      <w:start w:val="1"/>
      <w:numFmt w:val="bullet"/>
      <w:lvlText w:val=""/>
      <w:lvlJc w:val="left"/>
      <w:pPr>
        <w:ind w:left="3229" w:hanging="360"/>
      </w:pPr>
      <w:rPr>
        <w:rFonts w:hint="default" w:ascii="Symbol" w:hAnsi="Symbol"/>
      </w:rPr>
    </w:lvl>
    <w:lvl w:ilvl="4" w:tentative="0">
      <w:start w:val="1"/>
      <w:numFmt w:val="bullet"/>
      <w:lvlText w:val="o"/>
      <w:lvlJc w:val="left"/>
      <w:pPr>
        <w:ind w:left="3949" w:hanging="360"/>
      </w:pPr>
      <w:rPr>
        <w:rFonts w:hint="default" w:ascii="Courier New" w:hAnsi="Courier New" w:cs="Courier New"/>
      </w:rPr>
    </w:lvl>
    <w:lvl w:ilvl="5" w:tentative="0">
      <w:start w:val="1"/>
      <w:numFmt w:val="bullet"/>
      <w:lvlText w:val=""/>
      <w:lvlJc w:val="left"/>
      <w:pPr>
        <w:ind w:left="4669" w:hanging="360"/>
      </w:pPr>
      <w:rPr>
        <w:rFonts w:hint="default" w:ascii="Wingdings" w:hAnsi="Wingdings"/>
      </w:rPr>
    </w:lvl>
    <w:lvl w:ilvl="6" w:tentative="0">
      <w:start w:val="1"/>
      <w:numFmt w:val="bullet"/>
      <w:lvlText w:val=""/>
      <w:lvlJc w:val="left"/>
      <w:pPr>
        <w:ind w:left="5389" w:hanging="360"/>
      </w:pPr>
      <w:rPr>
        <w:rFonts w:hint="default" w:ascii="Symbol" w:hAnsi="Symbol"/>
      </w:rPr>
    </w:lvl>
    <w:lvl w:ilvl="7" w:tentative="0">
      <w:start w:val="1"/>
      <w:numFmt w:val="bullet"/>
      <w:lvlText w:val="o"/>
      <w:lvlJc w:val="left"/>
      <w:pPr>
        <w:ind w:left="6109" w:hanging="360"/>
      </w:pPr>
      <w:rPr>
        <w:rFonts w:hint="default" w:ascii="Courier New" w:hAnsi="Courier New" w:cs="Courier New"/>
      </w:rPr>
    </w:lvl>
    <w:lvl w:ilvl="8" w:tentative="0">
      <w:start w:val="1"/>
      <w:numFmt w:val="bullet"/>
      <w:lvlText w:val=""/>
      <w:lvlJc w:val="left"/>
      <w:pPr>
        <w:ind w:left="6829"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ED6987"/>
    <w:rsid w:val="0019610F"/>
    <w:rsid w:val="00474A6A"/>
    <w:rsid w:val="006815F7"/>
    <w:rsid w:val="00817321"/>
    <w:rsid w:val="00ED6987"/>
    <w:rsid w:val="00F067CD"/>
    <w:rsid w:val="00FB4C5A"/>
    <w:rsid w:val="1B275F34"/>
    <w:rsid w:val="77A3052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38"/>
        <o:r id="V:Rule14" type="connector" idref="#_x0000_s1039"/>
        <o:r id="V:Rule15" type="connector" idref="#_x0000_s1040"/>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30"/>
    <customShpInfo spid="_x0000_s1027"/>
    <customShpInfo spid="_x0000_s1026"/>
    <customShpInfo spid="_x0000_s1029"/>
    <customShpInfo spid="_x0000_s1031"/>
    <customShpInfo spid="_x0000_s1028"/>
    <customShpInfo spid="_x0000_s1032"/>
    <customShpInfo spid="_x0000_s1034"/>
    <customShpInfo spid="_x0000_s1033"/>
    <customShpInfo spid="_x0000_s1039"/>
    <customShpInfo spid="_x0000_s1038"/>
    <customShpInfo spid="_x0000_s1036"/>
    <customShpInfo spid="_x0000_s1035"/>
    <customShpInfo spid="_x0000_s1040"/>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12</Pages>
  <Words>3595</Words>
  <Characters>20494</Characters>
  <Lines>170</Lines>
  <Paragraphs>48</Paragraphs>
  <TotalTime>0</TotalTime>
  <ScaleCrop>false</ScaleCrop>
  <LinksUpToDate>false</LinksUpToDate>
  <CharactersWithSpaces>24041</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2020-04-10T03:59:00Z</dcterms:created>
  <dc:creator>Laliga</dc:creator>
  <cp:lastModifiedBy>User</cp:lastModifiedBy>
  <dcterms:modified xsi:type="dcterms:W3CDTF">2024-09-10T18:45:26Z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FF68C2EE3AD942B985916628CD180A7D_12</vt:lpwstr>
  </property>
</Properties>
</file>